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0509" w14:textId="77777777" w:rsidR="00F245A2" w:rsidRPr="00D5067E" w:rsidRDefault="00F245A2" w:rsidP="31784731">
      <w:pPr>
        <w:pStyle w:val="p1"/>
        <w:rPr>
          <w:rFonts w:ascii="Georgia" w:eastAsia="Georgia" w:hAnsi="Georgia" w:cs="Georgia"/>
          <w:color w:val="000000" w:themeColor="text1"/>
          <w:sz w:val="22"/>
          <w:szCs w:val="22"/>
          <w:vertAlign w:val="subscript"/>
        </w:rPr>
      </w:pPr>
    </w:p>
    <w:p w14:paraId="5409EDB5" w14:textId="77777777" w:rsidR="00F245A2" w:rsidRPr="00D5067E" w:rsidRDefault="00F245A2" w:rsidP="31784731">
      <w:pPr>
        <w:pStyle w:val="p2"/>
        <w:rPr>
          <w:rFonts w:eastAsia="Georgia" w:cs="Georgia"/>
          <w:color w:val="000000" w:themeColor="text1"/>
          <w:sz w:val="22"/>
          <w:szCs w:val="22"/>
        </w:rPr>
      </w:pPr>
      <w:r w:rsidRPr="31784731">
        <w:rPr>
          <w:rStyle w:val="s2"/>
          <w:rFonts w:eastAsia="Georgia" w:cs="Georgia"/>
          <w:color w:val="000000" w:themeColor="text1"/>
          <w:sz w:val="22"/>
          <w:szCs w:val="22"/>
        </w:rPr>
        <w:t>NEWS RELEASE</w:t>
      </w:r>
      <w:r w:rsidRPr="31784731">
        <w:rPr>
          <w:rStyle w:val="apple-converted-space"/>
          <w:rFonts w:eastAsia="Georgia" w:cs="Georgia"/>
          <w:b/>
          <w:bCs/>
          <w:color w:val="000000" w:themeColor="text1"/>
          <w:sz w:val="22"/>
          <w:szCs w:val="22"/>
        </w:rPr>
        <w:t> </w:t>
      </w:r>
    </w:p>
    <w:p w14:paraId="3E5E8AB8" w14:textId="286FFA47" w:rsidR="4ECF8648" w:rsidRPr="005F5ADA" w:rsidRDefault="00F245A2" w:rsidP="005F5ADA">
      <w:pPr>
        <w:pStyle w:val="p3"/>
        <w:rPr>
          <w:rFonts w:eastAsia="Georgia" w:cs="Georgia"/>
          <w:color w:val="000000" w:themeColor="text1"/>
          <w:sz w:val="22"/>
          <w:szCs w:val="22"/>
        </w:rPr>
      </w:pPr>
      <w:r w:rsidRPr="31784731">
        <w:rPr>
          <w:rStyle w:val="s3"/>
          <w:rFonts w:eastAsia="Georgia" w:cs="Georgia"/>
          <w:color w:val="000000" w:themeColor="text1"/>
          <w:sz w:val="22"/>
          <w:szCs w:val="22"/>
        </w:rPr>
        <w:t xml:space="preserve">For Immediate Release: March </w:t>
      </w:r>
      <w:r w:rsidR="00450EA1" w:rsidRPr="31784731">
        <w:rPr>
          <w:rStyle w:val="s3"/>
          <w:rFonts w:eastAsia="Georgia" w:cs="Georgia"/>
          <w:color w:val="000000" w:themeColor="text1"/>
          <w:sz w:val="22"/>
          <w:szCs w:val="22"/>
        </w:rPr>
        <w:t>2</w:t>
      </w:r>
      <w:r w:rsidR="249DAF22" w:rsidRPr="31784731">
        <w:rPr>
          <w:rStyle w:val="s3"/>
          <w:rFonts w:eastAsia="Georgia" w:cs="Georgia"/>
          <w:color w:val="000000" w:themeColor="text1"/>
          <w:sz w:val="22"/>
          <w:szCs w:val="22"/>
        </w:rPr>
        <w:t>6</w:t>
      </w:r>
      <w:r w:rsidRPr="31784731">
        <w:rPr>
          <w:rStyle w:val="s3"/>
          <w:rFonts w:eastAsia="Georgia" w:cs="Georgia"/>
          <w:color w:val="000000" w:themeColor="text1"/>
          <w:sz w:val="22"/>
          <w:szCs w:val="22"/>
        </w:rPr>
        <w:t>, 2020</w:t>
      </w:r>
      <w:r w:rsidRPr="31784731">
        <w:rPr>
          <w:rStyle w:val="apple-converted-space"/>
          <w:rFonts w:eastAsia="Georgia" w:cs="Georgia"/>
          <w:i/>
          <w:iCs/>
          <w:color w:val="000000" w:themeColor="text1"/>
          <w:sz w:val="22"/>
          <w:szCs w:val="22"/>
        </w:rPr>
        <w:t> </w:t>
      </w:r>
    </w:p>
    <w:p w14:paraId="529FC38A" w14:textId="1042D74C" w:rsidR="1BB6E141" w:rsidRDefault="1BB6E141" w:rsidP="31784731">
      <w:pPr>
        <w:spacing w:beforeAutospacing="1" w:after="150" w:line="240" w:lineRule="auto"/>
        <w:rPr>
          <w:rFonts w:ascii="Georgia" w:eastAsia="Georgia" w:hAnsi="Georgia" w:cs="Georgia"/>
          <w:b/>
          <w:bCs/>
          <w:color w:val="000000" w:themeColor="text1"/>
        </w:rPr>
      </w:pPr>
      <w:r w:rsidRPr="31784731">
        <w:rPr>
          <w:rFonts w:ascii="Georgia" w:eastAsia="Georgia" w:hAnsi="Georgia" w:cs="Georgia"/>
          <w:b/>
          <w:bCs/>
          <w:color w:val="000000" w:themeColor="text1"/>
        </w:rPr>
        <w:t xml:space="preserve">Mississippi </w:t>
      </w:r>
      <w:r w:rsidR="635C40F2" w:rsidRPr="31784731">
        <w:rPr>
          <w:rFonts w:ascii="Georgia" w:eastAsia="Georgia" w:hAnsi="Georgia" w:cs="Georgia"/>
          <w:b/>
          <w:bCs/>
          <w:color w:val="000000" w:themeColor="text1"/>
        </w:rPr>
        <w:t>State Board of Education</w:t>
      </w:r>
      <w:r w:rsidR="5A42EE6D" w:rsidRPr="31784731">
        <w:rPr>
          <w:rFonts w:ascii="Georgia" w:eastAsia="Georgia" w:hAnsi="Georgia" w:cs="Georgia"/>
          <w:b/>
          <w:bCs/>
          <w:color w:val="000000" w:themeColor="text1"/>
        </w:rPr>
        <w:t xml:space="preserve"> Suspends Key Policies to Manage Impact of Extended School Closures</w:t>
      </w:r>
    </w:p>
    <w:p w14:paraId="674E4390" w14:textId="6AE130E9" w:rsidR="31784731" w:rsidRDefault="00133B0A" w:rsidP="31784731">
      <w:pPr>
        <w:pStyle w:val="NormalWeb"/>
        <w:rPr>
          <w:rFonts w:ascii="Georgia" w:eastAsia="Georgia" w:hAnsi="Georgia" w:cs="Georgia"/>
          <w:sz w:val="22"/>
          <w:szCs w:val="22"/>
        </w:rPr>
      </w:pPr>
      <w:r w:rsidRPr="3178473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JACKSON, Miss. </w:t>
      </w:r>
      <w:proofErr w:type="gramStart"/>
      <w:r w:rsidRPr="3178473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– </w:t>
      </w:r>
      <w:r w:rsidR="172026A0"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="14F87274" w:rsidRPr="31784731">
        <w:rPr>
          <w:rFonts w:ascii="Georgia" w:eastAsia="Georgia" w:hAnsi="Georgia" w:cs="Georgia"/>
          <w:sz w:val="22"/>
          <w:szCs w:val="22"/>
        </w:rPr>
        <w:t>Th</w:t>
      </w:r>
      <w:r w:rsidR="172026A0" w:rsidRPr="31784731">
        <w:rPr>
          <w:rFonts w:ascii="Georgia" w:eastAsia="Georgia" w:hAnsi="Georgia" w:cs="Georgia"/>
          <w:sz w:val="22"/>
          <w:szCs w:val="22"/>
        </w:rPr>
        <w:t>e</w:t>
      </w:r>
      <w:proofErr w:type="gramEnd"/>
      <w:r w:rsidR="172026A0"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="43DE0DA0" w:rsidRPr="31784731">
        <w:rPr>
          <w:rFonts w:ascii="Georgia" w:eastAsia="Georgia" w:hAnsi="Georgia" w:cs="Georgia"/>
          <w:sz w:val="22"/>
          <w:szCs w:val="22"/>
        </w:rPr>
        <w:t xml:space="preserve">Mississippi </w:t>
      </w:r>
      <w:r w:rsidR="621D6AFB" w:rsidRPr="31784731">
        <w:rPr>
          <w:rFonts w:ascii="Georgia" w:eastAsia="Georgia" w:hAnsi="Georgia" w:cs="Georgia"/>
          <w:sz w:val="22"/>
          <w:szCs w:val="22"/>
        </w:rPr>
        <w:t>State Board</w:t>
      </w:r>
      <w:r w:rsidR="43DE0DA0" w:rsidRPr="31784731">
        <w:rPr>
          <w:rFonts w:ascii="Georgia" w:eastAsia="Georgia" w:hAnsi="Georgia" w:cs="Georgia"/>
          <w:sz w:val="22"/>
          <w:szCs w:val="22"/>
        </w:rPr>
        <w:t xml:space="preserve"> of Education (</w:t>
      </w:r>
      <w:r w:rsidR="6310FB1D" w:rsidRPr="31784731">
        <w:rPr>
          <w:rFonts w:ascii="Georgia" w:eastAsia="Georgia" w:hAnsi="Georgia" w:cs="Georgia"/>
          <w:sz w:val="22"/>
          <w:szCs w:val="22"/>
        </w:rPr>
        <w:t>SBE)</w:t>
      </w:r>
      <w:r w:rsidR="43DE0DA0"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="33E42BE6" w:rsidRPr="31784731">
        <w:rPr>
          <w:rFonts w:ascii="Georgia" w:eastAsia="Georgia" w:hAnsi="Georgia" w:cs="Georgia"/>
          <w:sz w:val="22"/>
          <w:szCs w:val="22"/>
        </w:rPr>
        <w:t xml:space="preserve">today </w:t>
      </w:r>
      <w:r w:rsidR="758C8436" w:rsidRPr="31784731">
        <w:rPr>
          <w:rFonts w:ascii="Georgia" w:eastAsia="Georgia" w:hAnsi="Georgia" w:cs="Georgia"/>
          <w:sz w:val="22"/>
          <w:szCs w:val="22"/>
        </w:rPr>
        <w:t>suspended several</w:t>
      </w:r>
      <w:r w:rsidR="33E42BE6"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="0EA921CB" w:rsidRPr="31784731">
        <w:rPr>
          <w:rFonts w:ascii="Georgia" w:eastAsia="Georgia" w:hAnsi="Georgia" w:cs="Georgia"/>
          <w:sz w:val="22"/>
          <w:szCs w:val="22"/>
        </w:rPr>
        <w:t>statewide</w:t>
      </w:r>
      <w:r w:rsidR="33E42BE6" w:rsidRPr="31784731">
        <w:rPr>
          <w:rFonts w:ascii="Georgia" w:eastAsia="Georgia" w:hAnsi="Georgia" w:cs="Georgia"/>
          <w:sz w:val="22"/>
          <w:szCs w:val="22"/>
        </w:rPr>
        <w:t xml:space="preserve"> policies to manage </w:t>
      </w:r>
      <w:r w:rsidR="7EBAD6D6" w:rsidRPr="31784731">
        <w:rPr>
          <w:rFonts w:ascii="Georgia" w:eastAsia="Georgia" w:hAnsi="Georgia" w:cs="Georgia"/>
          <w:sz w:val="22"/>
          <w:szCs w:val="22"/>
        </w:rPr>
        <w:t>the impact of extended school closures due to the COVID-19 (coronavirus) public health crisis.</w:t>
      </w:r>
      <w:r w:rsidR="452732F0" w:rsidRPr="31784731">
        <w:rPr>
          <w:rFonts w:ascii="Georgia" w:eastAsia="Georgia" w:hAnsi="Georgia" w:cs="Georgia"/>
          <w:sz w:val="22"/>
          <w:szCs w:val="22"/>
        </w:rPr>
        <w:t xml:space="preserve"> The </w:t>
      </w:r>
      <w:r w:rsidR="1789DC6B" w:rsidRPr="31784731">
        <w:rPr>
          <w:rFonts w:ascii="Georgia" w:eastAsia="Georgia" w:hAnsi="Georgia" w:cs="Georgia"/>
          <w:sz w:val="22"/>
          <w:szCs w:val="22"/>
        </w:rPr>
        <w:t xml:space="preserve">policy </w:t>
      </w:r>
      <w:r w:rsidR="09D6C844" w:rsidRPr="31784731">
        <w:rPr>
          <w:rFonts w:ascii="Georgia" w:eastAsia="Georgia" w:hAnsi="Georgia" w:cs="Georgia"/>
          <w:sz w:val="22"/>
          <w:szCs w:val="22"/>
        </w:rPr>
        <w:t xml:space="preserve">suspensions </w:t>
      </w:r>
      <w:r w:rsidR="1789DC6B" w:rsidRPr="31784731">
        <w:rPr>
          <w:rFonts w:ascii="Georgia" w:eastAsia="Georgia" w:hAnsi="Georgia" w:cs="Georgia"/>
          <w:sz w:val="22"/>
          <w:szCs w:val="22"/>
        </w:rPr>
        <w:t xml:space="preserve">apply </w:t>
      </w:r>
      <w:r w:rsidR="1FD5605A" w:rsidRPr="31784731">
        <w:rPr>
          <w:rFonts w:ascii="Georgia" w:eastAsia="Georgia" w:hAnsi="Georgia" w:cs="Georgia"/>
          <w:sz w:val="22"/>
          <w:szCs w:val="22"/>
        </w:rPr>
        <w:t xml:space="preserve">only to </w:t>
      </w:r>
      <w:r w:rsidR="1789DC6B" w:rsidRPr="31784731">
        <w:rPr>
          <w:rFonts w:ascii="Georgia" w:eastAsia="Georgia" w:hAnsi="Georgia" w:cs="Georgia"/>
          <w:sz w:val="22"/>
          <w:szCs w:val="22"/>
        </w:rPr>
        <w:t>student</w:t>
      </w:r>
      <w:r w:rsidR="433813F1" w:rsidRPr="31784731">
        <w:rPr>
          <w:rFonts w:ascii="Georgia" w:eastAsia="Georgia" w:hAnsi="Georgia" w:cs="Georgia"/>
          <w:sz w:val="22"/>
          <w:szCs w:val="22"/>
        </w:rPr>
        <w:t xml:space="preserve">s and </w:t>
      </w:r>
      <w:r w:rsidR="1789DC6B" w:rsidRPr="31784731">
        <w:rPr>
          <w:rFonts w:ascii="Georgia" w:eastAsia="Georgia" w:hAnsi="Georgia" w:cs="Georgia"/>
          <w:sz w:val="22"/>
          <w:szCs w:val="22"/>
        </w:rPr>
        <w:t>educator candidates in the 2019-20 school year</w:t>
      </w:r>
      <w:r w:rsidR="3AF48531" w:rsidRPr="31784731">
        <w:rPr>
          <w:rFonts w:ascii="Georgia" w:eastAsia="Georgia" w:hAnsi="Georgia" w:cs="Georgia"/>
          <w:sz w:val="22"/>
          <w:szCs w:val="22"/>
        </w:rPr>
        <w:t xml:space="preserve"> and </w:t>
      </w:r>
      <w:r w:rsidR="4D8BB64B" w:rsidRPr="31784731">
        <w:rPr>
          <w:rFonts w:ascii="Georgia" w:eastAsia="Georgia" w:hAnsi="Georgia" w:cs="Georgia"/>
          <w:sz w:val="22"/>
          <w:szCs w:val="22"/>
        </w:rPr>
        <w:t>educator preparation program applicants through December 2021</w:t>
      </w:r>
      <w:r w:rsidR="1789DC6B" w:rsidRPr="31784731">
        <w:rPr>
          <w:rFonts w:ascii="Georgia" w:eastAsia="Georgia" w:hAnsi="Georgia" w:cs="Georgia"/>
          <w:sz w:val="22"/>
          <w:szCs w:val="22"/>
        </w:rPr>
        <w:t>.</w:t>
      </w:r>
      <w:r w:rsidR="0D47F9A9" w:rsidRPr="31784731">
        <w:rPr>
          <w:rFonts w:ascii="Georgia" w:eastAsia="Georgia" w:hAnsi="Georgia" w:cs="Georgia"/>
          <w:sz w:val="22"/>
          <w:szCs w:val="22"/>
        </w:rPr>
        <w:t xml:space="preserve"> </w:t>
      </w:r>
    </w:p>
    <w:p w14:paraId="369526B3" w14:textId="5C1E408C" w:rsidR="31784731" w:rsidRDefault="5C3AAC72" w:rsidP="005F5ADA">
      <w:pPr>
        <w:spacing w:beforeAutospacing="1" w:after="160" w:afterAutospacing="1" w:line="240" w:lineRule="auto"/>
        <w:rPr>
          <w:rFonts w:ascii="Georgia" w:eastAsia="Georgia" w:hAnsi="Georgia" w:cs="Georgia"/>
        </w:rPr>
      </w:pPr>
      <w:r w:rsidRPr="31784731">
        <w:rPr>
          <w:rFonts w:ascii="Georgia" w:eastAsia="Georgia" w:hAnsi="Georgia" w:cs="Georgia"/>
        </w:rPr>
        <w:t xml:space="preserve">Below is a summary of the key statewide policy suspensions enacted today. View the SBE meeting back-up material on the </w:t>
      </w:r>
      <w:hyperlink r:id="rId10">
        <w:r w:rsidRPr="31784731">
          <w:rPr>
            <w:rStyle w:val="Hyperlink"/>
            <w:rFonts w:ascii="Georgia" w:eastAsia="Georgia" w:hAnsi="Georgia" w:cs="Georgia"/>
            <w:color w:val="0000FF"/>
          </w:rPr>
          <w:t>Mississippi Department of Education (MDE) website</w:t>
        </w:r>
      </w:hyperlink>
      <w:r w:rsidR="3FEBE836" w:rsidRPr="31784731">
        <w:rPr>
          <w:rFonts w:ascii="Georgia" w:eastAsia="Georgia" w:hAnsi="Georgia" w:cs="Georgia"/>
        </w:rPr>
        <w:t xml:space="preserve"> </w:t>
      </w:r>
      <w:r w:rsidRPr="31784731">
        <w:rPr>
          <w:rFonts w:ascii="Georgia" w:eastAsia="Georgia" w:hAnsi="Georgia" w:cs="Georgia"/>
        </w:rPr>
        <w:t xml:space="preserve">for full </w:t>
      </w:r>
      <w:proofErr w:type="gramStart"/>
      <w:r w:rsidRPr="31784731">
        <w:rPr>
          <w:rFonts w:ascii="Georgia" w:eastAsia="Georgia" w:hAnsi="Georgia" w:cs="Georgia"/>
        </w:rPr>
        <w:t>details</w:t>
      </w:r>
      <w:proofErr w:type="gramEnd"/>
      <w:r w:rsidRPr="31784731">
        <w:rPr>
          <w:rFonts w:ascii="Georgia" w:eastAsia="Georgia" w:hAnsi="Georgia" w:cs="Georgia"/>
        </w:rPr>
        <w:t xml:space="preserve"> and a complete list of SBE policy suspensions for the 2019-20 school year.</w:t>
      </w:r>
    </w:p>
    <w:p w14:paraId="5707764A" w14:textId="4B01BAE1" w:rsidR="31784731" w:rsidRPr="007B77A8" w:rsidRDefault="78474A8E" w:rsidP="31784731">
      <w:pPr>
        <w:pStyle w:val="NormalWeb"/>
        <w:rPr>
          <w:rFonts w:ascii="Georgia" w:eastAsia="Georgia" w:hAnsi="Georgia" w:cs="Georgia"/>
          <w:b/>
          <w:bCs/>
          <w:sz w:val="22"/>
          <w:szCs w:val="22"/>
        </w:rPr>
      </w:pPr>
      <w:r w:rsidRPr="31784731">
        <w:rPr>
          <w:rFonts w:ascii="Georgia" w:eastAsia="Georgia" w:hAnsi="Georgia" w:cs="Georgia"/>
          <w:b/>
          <w:bCs/>
          <w:sz w:val="22"/>
          <w:szCs w:val="22"/>
        </w:rPr>
        <w:t>Graduation for the Class of 2020</w:t>
      </w:r>
      <w:r w:rsidR="007B77A8">
        <w:rPr>
          <w:rFonts w:ascii="Georgia" w:eastAsia="Georgia" w:hAnsi="Georgia" w:cs="Georgia"/>
          <w:b/>
          <w:bCs/>
          <w:sz w:val="22"/>
          <w:szCs w:val="22"/>
        </w:rPr>
        <w:br/>
      </w:r>
      <w:r w:rsidRPr="31784731">
        <w:rPr>
          <w:rFonts w:ascii="Georgia" w:eastAsia="Georgia" w:hAnsi="Georgia" w:cs="Georgia"/>
          <w:sz w:val="22"/>
          <w:szCs w:val="22"/>
        </w:rPr>
        <w:t>Current seniors who meet all district and state requirements may graduate</w:t>
      </w:r>
      <w:r w:rsidR="4EECEE93" w:rsidRPr="31784731">
        <w:rPr>
          <w:rFonts w:ascii="Georgia" w:eastAsia="Georgia" w:hAnsi="Georgia" w:cs="Georgia"/>
          <w:sz w:val="22"/>
          <w:szCs w:val="22"/>
        </w:rPr>
        <w:t xml:space="preserve"> this school year</w:t>
      </w:r>
      <w:r w:rsidR="370700D3" w:rsidRPr="31784731">
        <w:rPr>
          <w:rFonts w:ascii="Georgia" w:eastAsia="Georgia" w:hAnsi="Georgia" w:cs="Georgia"/>
          <w:sz w:val="22"/>
          <w:szCs w:val="22"/>
        </w:rPr>
        <w:t xml:space="preserve">. </w:t>
      </w:r>
      <w:r w:rsidR="12C87783" w:rsidRPr="31784731">
        <w:rPr>
          <w:rFonts w:ascii="Georgia" w:eastAsia="Georgia" w:hAnsi="Georgia" w:cs="Georgia"/>
          <w:sz w:val="22"/>
          <w:szCs w:val="22"/>
        </w:rPr>
        <w:t>The requirement that students take</w:t>
      </w:r>
      <w:r w:rsidR="370700D3" w:rsidRPr="31784731">
        <w:rPr>
          <w:rFonts w:ascii="Georgia" w:eastAsia="Georgia" w:hAnsi="Georgia" w:cs="Georgia"/>
          <w:sz w:val="22"/>
          <w:szCs w:val="22"/>
        </w:rPr>
        <w:t xml:space="preserve"> end-of-course assessments</w:t>
      </w:r>
      <w:r w:rsidR="4BBAA377" w:rsidRPr="31784731">
        <w:rPr>
          <w:rFonts w:ascii="Georgia" w:eastAsia="Georgia" w:hAnsi="Georgia" w:cs="Georgia"/>
          <w:sz w:val="22"/>
          <w:szCs w:val="22"/>
        </w:rPr>
        <w:t xml:space="preserve"> in Algebra I, English II, Biology and U.S. History</w:t>
      </w:r>
      <w:r w:rsidR="370700D3"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="0C777467" w:rsidRPr="31784731">
        <w:rPr>
          <w:rFonts w:ascii="Georgia" w:eastAsia="Georgia" w:hAnsi="Georgia" w:cs="Georgia"/>
          <w:sz w:val="22"/>
          <w:szCs w:val="22"/>
        </w:rPr>
        <w:t>has</w:t>
      </w:r>
      <w:r w:rsidR="288FD943" w:rsidRPr="31784731">
        <w:rPr>
          <w:rFonts w:ascii="Georgia" w:eastAsia="Georgia" w:hAnsi="Georgia" w:cs="Georgia"/>
          <w:sz w:val="22"/>
          <w:szCs w:val="22"/>
        </w:rPr>
        <w:t xml:space="preserve"> be</w:t>
      </w:r>
      <w:r w:rsidR="0C777467" w:rsidRPr="31784731">
        <w:rPr>
          <w:rFonts w:ascii="Georgia" w:eastAsia="Georgia" w:hAnsi="Georgia" w:cs="Georgia"/>
          <w:sz w:val="22"/>
          <w:szCs w:val="22"/>
        </w:rPr>
        <w:t>en suspended for seniors because these assessments cannot be</w:t>
      </w:r>
      <w:r w:rsidR="288FD943"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="391EEEBF" w:rsidRPr="31784731">
        <w:rPr>
          <w:rFonts w:ascii="Georgia" w:eastAsia="Georgia" w:hAnsi="Georgia" w:cs="Georgia"/>
          <w:sz w:val="22"/>
          <w:szCs w:val="22"/>
        </w:rPr>
        <w:t>administered</w:t>
      </w:r>
      <w:r w:rsidR="370700D3" w:rsidRPr="31784731">
        <w:rPr>
          <w:rFonts w:ascii="Georgia" w:eastAsia="Georgia" w:hAnsi="Georgia" w:cs="Georgia"/>
          <w:sz w:val="22"/>
          <w:szCs w:val="22"/>
        </w:rPr>
        <w:t xml:space="preserve"> in spring 2020</w:t>
      </w:r>
      <w:r w:rsidR="7AB6D9E3" w:rsidRPr="31784731">
        <w:rPr>
          <w:rFonts w:ascii="Georgia" w:eastAsia="Georgia" w:hAnsi="Georgia" w:cs="Georgia"/>
          <w:sz w:val="22"/>
          <w:szCs w:val="22"/>
        </w:rPr>
        <w:t>.</w:t>
      </w:r>
      <w:r w:rsidR="29DC5C7B" w:rsidRPr="31784731">
        <w:rPr>
          <w:rFonts w:ascii="Georgia" w:eastAsia="Georgia" w:hAnsi="Georgia" w:cs="Georgia"/>
          <w:sz w:val="22"/>
          <w:szCs w:val="22"/>
        </w:rPr>
        <w:t xml:space="preserve"> Statewide, students are required to earn a minimum of 24 Carnegie units to graduate. </w:t>
      </w:r>
    </w:p>
    <w:p w14:paraId="09788033" w14:textId="12BB338D" w:rsidR="005F5ADA" w:rsidRPr="007B77A8" w:rsidRDefault="30ADCE4B" w:rsidP="007B77A8">
      <w:pPr>
        <w:pStyle w:val="NormalWeb"/>
        <w:rPr>
          <w:rFonts w:ascii="Georgia" w:eastAsia="Georgia" w:hAnsi="Georgia" w:cs="Georgia"/>
          <w:b/>
          <w:bCs/>
          <w:sz w:val="22"/>
          <w:szCs w:val="22"/>
        </w:rPr>
      </w:pPr>
      <w:r w:rsidRPr="31784731">
        <w:rPr>
          <w:rFonts w:ascii="Georgia" w:eastAsia="Georgia" w:hAnsi="Georgia" w:cs="Georgia"/>
          <w:b/>
          <w:bCs/>
          <w:sz w:val="22"/>
          <w:szCs w:val="22"/>
        </w:rPr>
        <w:t>Students Scheduled to Take</w:t>
      </w:r>
      <w:r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Pr="31784731">
        <w:rPr>
          <w:rFonts w:ascii="Georgia" w:eastAsia="Georgia" w:hAnsi="Georgia" w:cs="Georgia"/>
          <w:b/>
          <w:bCs/>
          <w:sz w:val="22"/>
          <w:szCs w:val="22"/>
        </w:rPr>
        <w:t>High School</w:t>
      </w:r>
      <w:r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Pr="31784731">
        <w:rPr>
          <w:rFonts w:ascii="Georgia" w:eastAsia="Georgia" w:hAnsi="Georgia" w:cs="Georgia"/>
          <w:b/>
          <w:bCs/>
          <w:sz w:val="22"/>
          <w:szCs w:val="22"/>
        </w:rPr>
        <w:t>End-of-Course Assessments</w:t>
      </w:r>
      <w:r w:rsidR="007B77A8">
        <w:rPr>
          <w:rFonts w:ascii="Georgia" w:eastAsia="Georgia" w:hAnsi="Georgia" w:cs="Georgia"/>
          <w:b/>
          <w:bCs/>
          <w:sz w:val="22"/>
          <w:szCs w:val="22"/>
        </w:rPr>
        <w:br/>
      </w:r>
      <w:r w:rsidRPr="31784731">
        <w:rPr>
          <w:rFonts w:ascii="Georgia" w:eastAsia="Georgia" w:hAnsi="Georgia" w:cs="Georgia"/>
          <w:sz w:val="22"/>
          <w:szCs w:val="22"/>
        </w:rPr>
        <w:t>Any student in grades 7 through 12 who is currently enrolled in Algebra I, Biology, English II and/or U. S. History during the 2019-20 school year will not be required to take and/or pass the corresponding end-of-course subject area test(s) or meet one of the options in lieu of passing the test(s) to meet graduation requirements.</w:t>
      </w:r>
      <w:r w:rsidR="007B77A8">
        <w:rPr>
          <w:rFonts w:ascii="Georgia" w:eastAsia="Georgia" w:hAnsi="Georgia" w:cs="Georgia"/>
          <w:sz w:val="22"/>
          <w:szCs w:val="22"/>
        </w:rPr>
        <w:br/>
      </w:r>
      <w:r w:rsidR="31784731">
        <w:br/>
      </w:r>
      <w:r w:rsidR="4B284DB5" w:rsidRPr="31784731">
        <w:rPr>
          <w:rFonts w:ascii="Georgia" w:eastAsia="Georgia" w:hAnsi="Georgia" w:cs="Georgia"/>
          <w:b/>
          <w:bCs/>
          <w:sz w:val="22"/>
          <w:szCs w:val="22"/>
        </w:rPr>
        <w:t>High School Credits (Carnegie Units</w:t>
      </w:r>
      <w:proofErr w:type="gramStart"/>
      <w:r w:rsidR="4B284DB5" w:rsidRPr="31784731">
        <w:rPr>
          <w:rFonts w:ascii="Georgia" w:eastAsia="Georgia" w:hAnsi="Georgia" w:cs="Georgia"/>
          <w:b/>
          <w:bCs/>
          <w:sz w:val="22"/>
          <w:szCs w:val="22"/>
        </w:rPr>
        <w:t>)</w:t>
      </w:r>
      <w:proofErr w:type="gramEnd"/>
      <w:r w:rsidR="007B77A8">
        <w:rPr>
          <w:rFonts w:ascii="Georgia" w:eastAsia="Georgia" w:hAnsi="Georgia" w:cs="Georgia"/>
          <w:b/>
          <w:bCs/>
        </w:rPr>
        <w:br/>
      </w:r>
      <w:r w:rsidR="4B284DB5" w:rsidRPr="31784731">
        <w:rPr>
          <w:rFonts w:ascii="Georgia" w:eastAsia="Georgia" w:hAnsi="Georgia" w:cs="Georgia"/>
          <w:sz w:val="22"/>
          <w:szCs w:val="22"/>
        </w:rPr>
        <w:t>School districts shall determine a process for awarding a Carnegie unit credit for courses that are incomplete for school year 2019</w:t>
      </w:r>
      <w:r w:rsidR="3271A46D" w:rsidRPr="31784731">
        <w:rPr>
          <w:rFonts w:ascii="Georgia" w:eastAsia="Georgia" w:hAnsi="Georgia" w:cs="Georgia"/>
          <w:sz w:val="22"/>
          <w:szCs w:val="22"/>
        </w:rPr>
        <w:t>-</w:t>
      </w:r>
      <w:r w:rsidR="4B284DB5" w:rsidRPr="31784731">
        <w:rPr>
          <w:rFonts w:ascii="Georgia" w:eastAsia="Georgia" w:hAnsi="Georgia" w:cs="Georgia"/>
          <w:sz w:val="22"/>
          <w:szCs w:val="22"/>
        </w:rPr>
        <w:t xml:space="preserve">20. </w:t>
      </w:r>
      <w:r w:rsidR="78921843" w:rsidRPr="31784731">
        <w:rPr>
          <w:rFonts w:ascii="Georgia" w:eastAsia="Georgia" w:hAnsi="Georgia" w:cs="Georgia"/>
          <w:sz w:val="22"/>
          <w:szCs w:val="22"/>
        </w:rPr>
        <w:t>Local school boards have the authority to suspend or amend the</w:t>
      </w:r>
      <w:r w:rsidR="103E102A" w:rsidRPr="31784731">
        <w:rPr>
          <w:rFonts w:ascii="Georgia" w:eastAsia="Georgia" w:hAnsi="Georgia" w:cs="Georgia"/>
          <w:sz w:val="22"/>
          <w:szCs w:val="22"/>
        </w:rPr>
        <w:t>ir graduation policies for the 2019-20 school year</w:t>
      </w:r>
      <w:r w:rsidR="63DA9685" w:rsidRPr="31784731">
        <w:rPr>
          <w:rFonts w:ascii="Georgia" w:eastAsia="Georgia" w:hAnsi="Georgia" w:cs="Georgia"/>
          <w:sz w:val="22"/>
          <w:szCs w:val="22"/>
        </w:rPr>
        <w:t>,</w:t>
      </w:r>
      <w:r w:rsidR="103E102A" w:rsidRPr="31784731">
        <w:rPr>
          <w:rFonts w:ascii="Georgia" w:eastAsia="Georgia" w:hAnsi="Georgia" w:cs="Georgia"/>
          <w:sz w:val="22"/>
          <w:szCs w:val="22"/>
        </w:rPr>
        <w:t xml:space="preserve"> provided the</w:t>
      </w:r>
      <w:r w:rsidR="38D27F2B" w:rsidRPr="31784731">
        <w:rPr>
          <w:rFonts w:ascii="Georgia" w:eastAsia="Georgia" w:hAnsi="Georgia" w:cs="Georgia"/>
          <w:sz w:val="22"/>
          <w:szCs w:val="22"/>
        </w:rPr>
        <w:t xml:space="preserve"> policies continue to</w:t>
      </w:r>
      <w:r w:rsidR="103E102A" w:rsidRPr="31784731">
        <w:rPr>
          <w:rFonts w:ascii="Georgia" w:eastAsia="Georgia" w:hAnsi="Georgia" w:cs="Georgia"/>
          <w:sz w:val="22"/>
          <w:szCs w:val="22"/>
        </w:rPr>
        <w:t xml:space="preserve"> meet state standards. </w:t>
      </w:r>
    </w:p>
    <w:p w14:paraId="45C37FC2" w14:textId="2C7A2AB3" w:rsidR="005F5ADA" w:rsidRDefault="760EEA5E" w:rsidP="005F5ADA">
      <w:pPr>
        <w:spacing w:line="259" w:lineRule="auto"/>
        <w:rPr>
          <w:rFonts w:ascii="Georgia" w:eastAsia="Georgia" w:hAnsi="Georgia" w:cs="Georgia"/>
          <w:b/>
          <w:bCs/>
        </w:rPr>
      </w:pPr>
      <w:r w:rsidRPr="31784731">
        <w:rPr>
          <w:rFonts w:ascii="Georgia" w:eastAsia="Georgia" w:hAnsi="Georgia" w:cs="Georgia"/>
          <w:b/>
          <w:bCs/>
        </w:rPr>
        <w:t>3</w:t>
      </w:r>
      <w:r w:rsidRPr="31784731">
        <w:rPr>
          <w:rFonts w:ascii="Georgia" w:eastAsia="Georgia" w:hAnsi="Georgia" w:cs="Georgia"/>
          <w:b/>
          <w:bCs/>
          <w:vertAlign w:val="superscript"/>
        </w:rPr>
        <w:t>rd</w:t>
      </w:r>
      <w:r w:rsidRPr="31784731">
        <w:rPr>
          <w:rFonts w:ascii="Georgia" w:eastAsia="Georgia" w:hAnsi="Georgia" w:cs="Georgia"/>
          <w:b/>
          <w:bCs/>
        </w:rPr>
        <w:t xml:space="preserve"> Graders</w:t>
      </w:r>
      <w:r>
        <w:br/>
      </w:r>
      <w:r w:rsidRPr="31784731">
        <w:rPr>
          <w:rFonts w:ascii="Georgia" w:eastAsia="Georgia" w:hAnsi="Georgia" w:cs="Georgia"/>
        </w:rPr>
        <w:t>Current 3</w:t>
      </w:r>
      <w:r w:rsidRPr="31784731">
        <w:rPr>
          <w:rFonts w:ascii="Georgia" w:eastAsia="Georgia" w:hAnsi="Georgia" w:cs="Georgia"/>
          <w:vertAlign w:val="superscript"/>
        </w:rPr>
        <w:t>rd</w:t>
      </w:r>
      <w:r w:rsidRPr="31784731">
        <w:rPr>
          <w:rFonts w:ascii="Georgia" w:eastAsia="Georgia" w:hAnsi="Georgia" w:cs="Georgia"/>
        </w:rPr>
        <w:t xml:space="preserve"> graders will be promoted to 4</w:t>
      </w:r>
      <w:r w:rsidRPr="31784731">
        <w:rPr>
          <w:rFonts w:ascii="Georgia" w:eastAsia="Georgia" w:hAnsi="Georgia" w:cs="Georgia"/>
          <w:vertAlign w:val="superscript"/>
        </w:rPr>
        <w:t>th</w:t>
      </w:r>
      <w:r w:rsidRPr="31784731">
        <w:rPr>
          <w:rFonts w:ascii="Georgia" w:eastAsia="Georgia" w:hAnsi="Georgia" w:cs="Georgia"/>
        </w:rPr>
        <w:t xml:space="preserve"> grade for the 2020-21 school year if the student meets all other district requirements for promotion.</w:t>
      </w:r>
    </w:p>
    <w:p w14:paraId="3C4D5A35" w14:textId="67C31B4C" w:rsidR="31784731" w:rsidRPr="005F5ADA" w:rsidRDefault="6CB40557" w:rsidP="007B77A8">
      <w:pPr>
        <w:spacing w:line="259" w:lineRule="auto"/>
        <w:rPr>
          <w:rFonts w:ascii="Georgia" w:eastAsia="Georgia" w:hAnsi="Georgia" w:cs="Georgia"/>
        </w:rPr>
      </w:pPr>
      <w:r w:rsidRPr="00BE5ABB">
        <w:rPr>
          <w:rFonts w:ascii="Georgia" w:eastAsia="Georgia" w:hAnsi="Georgia" w:cs="Georgia"/>
          <w:b/>
          <w:bCs/>
          <w:highlight w:val="yellow"/>
        </w:rPr>
        <w:lastRenderedPageBreak/>
        <w:t>Education Preparation Program Entry</w:t>
      </w:r>
      <w:r w:rsidR="007B77A8" w:rsidRPr="00BE5ABB">
        <w:rPr>
          <w:rFonts w:ascii="Georgia" w:eastAsia="Georgia" w:hAnsi="Georgia" w:cs="Georgia"/>
          <w:b/>
          <w:bCs/>
          <w:highlight w:val="yellow"/>
        </w:rPr>
        <w:br/>
      </w:r>
      <w:r w:rsidR="6D860FF5" w:rsidRPr="00BE5ABB">
        <w:rPr>
          <w:rFonts w:ascii="Georgia" w:eastAsia="Georgia" w:hAnsi="Georgia" w:cs="Georgia"/>
          <w:highlight w:val="yellow"/>
        </w:rPr>
        <w:t>Candidates</w:t>
      </w:r>
      <w:r w:rsidR="74619499" w:rsidRPr="00BE5ABB">
        <w:rPr>
          <w:rFonts w:ascii="Georgia" w:eastAsia="Georgia" w:hAnsi="Georgia" w:cs="Georgia"/>
          <w:highlight w:val="yellow"/>
        </w:rPr>
        <w:t xml:space="preserve"> seeking admission to a</w:t>
      </w:r>
      <w:r w:rsidR="0F5B2CE0" w:rsidRPr="00BE5ABB">
        <w:rPr>
          <w:rFonts w:ascii="Georgia" w:eastAsia="Georgia" w:hAnsi="Georgia" w:cs="Georgia"/>
          <w:highlight w:val="yellow"/>
        </w:rPr>
        <w:t>n</w:t>
      </w:r>
      <w:r w:rsidR="74619499" w:rsidRPr="00BE5ABB">
        <w:rPr>
          <w:rFonts w:ascii="Georgia" w:eastAsia="Georgia" w:hAnsi="Georgia" w:cs="Georgia"/>
          <w:highlight w:val="yellow"/>
        </w:rPr>
        <w:t xml:space="preserve"> SBE-approved traditional or nontraditional educator preparation program on or before December 31, 2021, are exempt from the</w:t>
      </w:r>
      <w:r w:rsidR="71C43701" w:rsidRPr="00BE5ABB">
        <w:rPr>
          <w:rFonts w:ascii="Georgia" w:eastAsia="Georgia" w:hAnsi="Georgia" w:cs="Georgia"/>
          <w:highlight w:val="yellow"/>
        </w:rPr>
        <w:t xml:space="preserve"> educator preparation program entry testing criterion</w:t>
      </w:r>
      <w:r w:rsidR="282B08F2" w:rsidRPr="00BE5ABB">
        <w:rPr>
          <w:rFonts w:ascii="Georgia" w:eastAsia="Georgia" w:hAnsi="Georgia" w:cs="Georgia"/>
          <w:highlight w:val="yellow"/>
        </w:rPr>
        <w:t>.</w:t>
      </w:r>
      <w:r w:rsidR="25395D54" w:rsidRPr="00BE5ABB">
        <w:rPr>
          <w:rFonts w:ascii="Georgia" w:eastAsia="Georgia" w:hAnsi="Georgia" w:cs="Georgia"/>
          <w:highlight w:val="yellow"/>
        </w:rPr>
        <w:t xml:space="preserve"> The exemption extends through the 2021 calendar year to </w:t>
      </w:r>
      <w:r w:rsidR="273C9B1E" w:rsidRPr="00BE5ABB">
        <w:rPr>
          <w:rFonts w:ascii="Georgia" w:eastAsia="Georgia" w:hAnsi="Georgia" w:cs="Georgia"/>
          <w:highlight w:val="yellow"/>
        </w:rPr>
        <w:t>mitigate</w:t>
      </w:r>
      <w:r w:rsidR="25395D54" w:rsidRPr="00BE5ABB">
        <w:rPr>
          <w:rFonts w:ascii="Georgia" w:eastAsia="Georgia" w:hAnsi="Georgia" w:cs="Georgia"/>
          <w:highlight w:val="yellow"/>
        </w:rPr>
        <w:t xml:space="preserve"> the impac</w:t>
      </w:r>
      <w:r w:rsidR="5E048D9B" w:rsidRPr="00BE5ABB">
        <w:rPr>
          <w:rFonts w:ascii="Georgia" w:eastAsia="Georgia" w:hAnsi="Georgia" w:cs="Georgia"/>
          <w:highlight w:val="yellow"/>
        </w:rPr>
        <w:t xml:space="preserve">t of </w:t>
      </w:r>
      <w:r w:rsidR="0A6B6927" w:rsidRPr="00BE5ABB">
        <w:rPr>
          <w:rFonts w:ascii="Georgia" w:eastAsia="Georgia" w:hAnsi="Georgia" w:cs="Georgia"/>
          <w:highlight w:val="yellow"/>
        </w:rPr>
        <w:t xml:space="preserve">a prolonged </w:t>
      </w:r>
      <w:r w:rsidR="5E048D9B" w:rsidRPr="00BE5ABB">
        <w:rPr>
          <w:rFonts w:ascii="Georgia" w:eastAsia="Georgia" w:hAnsi="Georgia" w:cs="Georgia"/>
          <w:highlight w:val="yellow"/>
        </w:rPr>
        <w:t>suspension of candidate testing</w:t>
      </w:r>
      <w:r w:rsidR="5998837B" w:rsidRPr="00BE5ABB">
        <w:rPr>
          <w:rFonts w:ascii="Georgia" w:eastAsia="Georgia" w:hAnsi="Georgia" w:cs="Georgia"/>
          <w:highlight w:val="yellow"/>
        </w:rPr>
        <w:t xml:space="preserve"> nationwide</w:t>
      </w:r>
      <w:r w:rsidR="5E048D9B" w:rsidRPr="00BE5ABB">
        <w:rPr>
          <w:rFonts w:ascii="Georgia" w:eastAsia="Georgia" w:hAnsi="Georgia" w:cs="Georgia"/>
          <w:highlight w:val="yellow"/>
        </w:rPr>
        <w:t>.</w:t>
      </w:r>
      <w:bookmarkStart w:id="0" w:name="_GoBack"/>
      <w:bookmarkEnd w:id="0"/>
      <w:r w:rsidR="5E048D9B" w:rsidRPr="31784731">
        <w:rPr>
          <w:rFonts w:ascii="Georgia" w:eastAsia="Georgia" w:hAnsi="Georgia" w:cs="Georgia"/>
        </w:rPr>
        <w:t xml:space="preserve"> </w:t>
      </w:r>
    </w:p>
    <w:p w14:paraId="1568DD76" w14:textId="380D3BED" w:rsidR="31784731" w:rsidRPr="007B77A8" w:rsidRDefault="511B6735" w:rsidP="31784731">
      <w:pPr>
        <w:pStyle w:val="NormalWeb"/>
        <w:rPr>
          <w:rFonts w:ascii="Georgia" w:eastAsia="Georgia" w:hAnsi="Georgia" w:cs="Georgia"/>
          <w:b/>
          <w:bCs/>
          <w:sz w:val="22"/>
          <w:szCs w:val="22"/>
        </w:rPr>
      </w:pPr>
      <w:r w:rsidRPr="31784731">
        <w:rPr>
          <w:rFonts w:ascii="Georgia" w:eastAsia="Georgia" w:hAnsi="Georgia" w:cs="Georgia"/>
          <w:b/>
          <w:bCs/>
          <w:sz w:val="22"/>
          <w:szCs w:val="22"/>
        </w:rPr>
        <w:t>Education Preparation</w:t>
      </w:r>
      <w:r w:rsidR="1335D3B8" w:rsidRPr="31784731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r w:rsidR="007B77A8">
        <w:rPr>
          <w:rFonts w:ascii="Georgia" w:eastAsia="Georgia" w:hAnsi="Georgia" w:cs="Georgia"/>
          <w:b/>
          <w:bCs/>
          <w:sz w:val="22"/>
          <w:szCs w:val="22"/>
        </w:rPr>
        <w:br/>
      </w:r>
      <w:r w:rsidR="43B7E0BD" w:rsidRPr="31784731">
        <w:rPr>
          <w:rFonts w:ascii="Georgia" w:eastAsia="Georgia" w:hAnsi="Georgia" w:cs="Georgia"/>
          <w:sz w:val="22"/>
          <w:szCs w:val="22"/>
        </w:rPr>
        <w:t>Spring 2020 educator licensure candidate</w:t>
      </w:r>
      <w:r w:rsidR="5614265E" w:rsidRPr="31784731">
        <w:rPr>
          <w:rFonts w:ascii="Georgia" w:eastAsia="Georgia" w:hAnsi="Georgia" w:cs="Georgia"/>
          <w:sz w:val="22"/>
          <w:szCs w:val="22"/>
        </w:rPr>
        <w:t>s</w:t>
      </w:r>
      <w:r w:rsidR="43B7E0BD"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="5A7B2D26" w:rsidRPr="31784731">
        <w:rPr>
          <w:rFonts w:ascii="Georgia" w:eastAsia="Georgia" w:hAnsi="Georgia" w:cs="Georgia"/>
          <w:sz w:val="22"/>
          <w:szCs w:val="22"/>
        </w:rPr>
        <w:t xml:space="preserve">no longer need to meet the minimum of 12 weeks of full-day student teaching to become licensed. </w:t>
      </w:r>
      <w:r w:rsidRPr="31784731">
        <w:rPr>
          <w:rFonts w:ascii="Georgia" w:eastAsia="Georgia" w:hAnsi="Georgia" w:cs="Georgia"/>
          <w:sz w:val="22"/>
          <w:szCs w:val="22"/>
        </w:rPr>
        <w:t>The MDE will continue to work collaboratively with Education Preparation</w:t>
      </w:r>
      <w:r w:rsidR="287DDA0D"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Pr="31784731">
        <w:rPr>
          <w:rFonts w:ascii="Georgia" w:eastAsia="Georgia" w:hAnsi="Georgia" w:cs="Georgia"/>
          <w:sz w:val="22"/>
          <w:szCs w:val="22"/>
        </w:rPr>
        <w:t>Provider</w:t>
      </w:r>
      <w:r w:rsidR="7A674E7A" w:rsidRPr="31784731">
        <w:rPr>
          <w:rFonts w:ascii="Georgia" w:eastAsia="Georgia" w:hAnsi="Georgia" w:cs="Georgia"/>
          <w:sz w:val="22"/>
          <w:szCs w:val="22"/>
        </w:rPr>
        <w:t>s</w:t>
      </w:r>
      <w:r w:rsidRPr="31784731">
        <w:rPr>
          <w:rFonts w:ascii="Georgia" w:eastAsia="Georgia" w:hAnsi="Georgia" w:cs="Georgia"/>
          <w:sz w:val="22"/>
          <w:szCs w:val="22"/>
        </w:rPr>
        <w:t xml:space="preserve"> (EPP) to determine the acceptable experiences necessary for student teaching and demonstration of teaching competency prior to licensure.</w:t>
      </w:r>
    </w:p>
    <w:p w14:paraId="248DF3C9" w14:textId="76859938" w:rsidR="31784731" w:rsidRPr="007B77A8" w:rsidRDefault="79DAE08C" w:rsidP="31784731">
      <w:pPr>
        <w:pStyle w:val="NormalWeb"/>
        <w:rPr>
          <w:rFonts w:ascii="Georgia" w:eastAsia="Georgia" w:hAnsi="Georgia" w:cs="Georgia"/>
          <w:b/>
          <w:bCs/>
          <w:sz w:val="22"/>
          <w:szCs w:val="22"/>
        </w:rPr>
      </w:pPr>
      <w:r w:rsidRPr="31784731">
        <w:rPr>
          <w:rFonts w:ascii="Georgia" w:eastAsia="Georgia" w:hAnsi="Georgia" w:cs="Georgia"/>
          <w:b/>
          <w:bCs/>
          <w:sz w:val="22"/>
          <w:szCs w:val="22"/>
        </w:rPr>
        <w:t>Previous</w:t>
      </w:r>
      <w:r w:rsidR="659CC1E9" w:rsidRPr="31784731">
        <w:rPr>
          <w:rFonts w:ascii="Georgia" w:eastAsia="Georgia" w:hAnsi="Georgia" w:cs="Georgia"/>
          <w:b/>
          <w:bCs/>
          <w:sz w:val="22"/>
          <w:szCs w:val="22"/>
        </w:rPr>
        <w:t xml:space="preserve"> SBE Actions</w:t>
      </w:r>
      <w:r w:rsidR="007B77A8">
        <w:rPr>
          <w:rFonts w:ascii="Georgia" w:eastAsia="Georgia" w:hAnsi="Georgia" w:cs="Georgia"/>
          <w:b/>
          <w:bCs/>
          <w:sz w:val="22"/>
          <w:szCs w:val="22"/>
        </w:rPr>
        <w:br/>
      </w:r>
      <w:r w:rsidR="472DB7AA" w:rsidRPr="31784731">
        <w:rPr>
          <w:rFonts w:ascii="Georgia" w:eastAsia="Georgia" w:hAnsi="Georgia" w:cs="Georgia"/>
          <w:sz w:val="22"/>
          <w:szCs w:val="22"/>
        </w:rPr>
        <w:t xml:space="preserve">The SBE voted on March 19 to suspend all </w:t>
      </w:r>
      <w:r w:rsidR="7A05925E" w:rsidRPr="31784731">
        <w:rPr>
          <w:rFonts w:ascii="Georgia" w:eastAsia="Georgia" w:hAnsi="Georgia" w:cs="Georgia"/>
          <w:sz w:val="22"/>
          <w:szCs w:val="22"/>
        </w:rPr>
        <w:t xml:space="preserve">required </w:t>
      </w:r>
      <w:r w:rsidR="472DB7AA" w:rsidRPr="31784731">
        <w:rPr>
          <w:rFonts w:ascii="Georgia" w:eastAsia="Georgia" w:hAnsi="Georgia" w:cs="Georgia"/>
          <w:sz w:val="22"/>
          <w:szCs w:val="22"/>
        </w:rPr>
        <w:t>federal and state assessments for the 2019-20 school year</w:t>
      </w:r>
      <w:r w:rsidR="3CC5BB14" w:rsidRPr="31784731">
        <w:rPr>
          <w:rFonts w:ascii="Georgia" w:eastAsia="Georgia" w:hAnsi="Georgia" w:cs="Georgia"/>
          <w:sz w:val="22"/>
          <w:szCs w:val="22"/>
        </w:rPr>
        <w:t xml:space="preserve">, to </w:t>
      </w:r>
      <w:r w:rsidR="77ACE52E" w:rsidRPr="31784731">
        <w:rPr>
          <w:rFonts w:ascii="Georgia" w:eastAsia="Georgia" w:hAnsi="Georgia" w:cs="Georgia"/>
          <w:sz w:val="22"/>
          <w:szCs w:val="22"/>
        </w:rPr>
        <w:t xml:space="preserve">seek a waiver from the </w:t>
      </w:r>
      <w:r w:rsidR="3CC5BB14" w:rsidRPr="31784731">
        <w:rPr>
          <w:rFonts w:ascii="Georgia" w:eastAsia="Georgia" w:hAnsi="Georgia" w:cs="Georgia"/>
          <w:sz w:val="22"/>
          <w:szCs w:val="22"/>
        </w:rPr>
        <w:t>U.S. Department of Education</w:t>
      </w:r>
      <w:r w:rsidR="37D2F4E2"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="47EFB744" w:rsidRPr="31784731">
        <w:rPr>
          <w:rFonts w:ascii="Georgia" w:eastAsia="Georgia" w:hAnsi="Georgia" w:cs="Georgia"/>
          <w:sz w:val="22"/>
          <w:szCs w:val="22"/>
        </w:rPr>
        <w:t xml:space="preserve">(ED) </w:t>
      </w:r>
      <w:r w:rsidR="37D2F4E2" w:rsidRPr="31784731">
        <w:rPr>
          <w:rFonts w:ascii="Georgia" w:eastAsia="Georgia" w:hAnsi="Georgia" w:cs="Georgia"/>
          <w:sz w:val="22"/>
          <w:szCs w:val="22"/>
        </w:rPr>
        <w:t xml:space="preserve">for </w:t>
      </w:r>
      <w:r w:rsidR="47279280" w:rsidRPr="31784731">
        <w:rPr>
          <w:rFonts w:ascii="Georgia" w:eastAsia="Georgia" w:hAnsi="Georgia" w:cs="Georgia"/>
          <w:sz w:val="22"/>
          <w:szCs w:val="22"/>
        </w:rPr>
        <w:t>federal accountability requirements</w:t>
      </w:r>
      <w:r w:rsidR="3CC5BB14" w:rsidRPr="31784731">
        <w:rPr>
          <w:rFonts w:ascii="Georgia" w:eastAsia="Georgia" w:hAnsi="Georgia" w:cs="Georgia"/>
          <w:sz w:val="22"/>
          <w:szCs w:val="22"/>
        </w:rPr>
        <w:t xml:space="preserve"> </w:t>
      </w:r>
      <w:r w:rsidR="472DB7AA" w:rsidRPr="31784731">
        <w:rPr>
          <w:rFonts w:ascii="Georgia" w:eastAsia="Georgia" w:hAnsi="Georgia" w:cs="Georgia"/>
          <w:sz w:val="22"/>
          <w:szCs w:val="22"/>
        </w:rPr>
        <w:t xml:space="preserve">and to </w:t>
      </w:r>
      <w:r w:rsidR="3FB26843" w:rsidRPr="31784731">
        <w:rPr>
          <w:rFonts w:ascii="Georgia" w:eastAsia="Georgia" w:hAnsi="Georgia" w:cs="Georgia"/>
          <w:sz w:val="22"/>
          <w:szCs w:val="22"/>
        </w:rPr>
        <w:t>allow school districts to forego the requirement of a 180-day school year per state law.</w:t>
      </w:r>
      <w:r w:rsidR="41C3AABA" w:rsidRPr="31784731">
        <w:rPr>
          <w:rFonts w:ascii="Georgia" w:eastAsia="Georgia" w:hAnsi="Georgia" w:cs="Georgia"/>
          <w:sz w:val="22"/>
          <w:szCs w:val="22"/>
        </w:rPr>
        <w:t xml:space="preserve"> ED </w:t>
      </w:r>
      <w:r w:rsidR="75C64368" w:rsidRPr="31784731">
        <w:rPr>
          <w:rFonts w:ascii="Georgia" w:eastAsia="Georgia" w:hAnsi="Georgia" w:cs="Georgia"/>
          <w:sz w:val="22"/>
          <w:szCs w:val="22"/>
        </w:rPr>
        <w:t xml:space="preserve">informed MDE on March 20 of its </w:t>
      </w:r>
      <w:r w:rsidR="41C3AABA" w:rsidRPr="31784731">
        <w:rPr>
          <w:rFonts w:ascii="Georgia" w:eastAsia="Georgia" w:hAnsi="Georgia" w:cs="Georgia"/>
          <w:sz w:val="22"/>
          <w:szCs w:val="22"/>
        </w:rPr>
        <w:t>inte</w:t>
      </w:r>
      <w:r w:rsidR="6879DDB6" w:rsidRPr="31784731">
        <w:rPr>
          <w:rFonts w:ascii="Georgia" w:eastAsia="Georgia" w:hAnsi="Georgia" w:cs="Georgia"/>
          <w:sz w:val="22"/>
          <w:szCs w:val="22"/>
        </w:rPr>
        <w:t>ntion</w:t>
      </w:r>
      <w:r w:rsidR="41C3AABA" w:rsidRPr="31784731">
        <w:rPr>
          <w:rFonts w:ascii="Georgia" w:eastAsia="Georgia" w:hAnsi="Georgia" w:cs="Georgia"/>
          <w:sz w:val="22"/>
          <w:szCs w:val="22"/>
        </w:rPr>
        <w:t xml:space="preserve"> to issue a formal approval of MDE</w:t>
      </w:r>
      <w:r w:rsidR="350872B6" w:rsidRPr="31784731">
        <w:rPr>
          <w:rFonts w:ascii="Georgia" w:eastAsia="Georgia" w:hAnsi="Georgia" w:cs="Georgia"/>
          <w:sz w:val="22"/>
          <w:szCs w:val="22"/>
        </w:rPr>
        <w:t>’s</w:t>
      </w:r>
      <w:r w:rsidR="41C3AABA" w:rsidRPr="31784731">
        <w:rPr>
          <w:rFonts w:ascii="Georgia" w:eastAsia="Georgia" w:hAnsi="Georgia" w:cs="Georgia"/>
          <w:sz w:val="22"/>
          <w:szCs w:val="22"/>
        </w:rPr>
        <w:t xml:space="preserve"> waiver request in the coming weeks.</w:t>
      </w:r>
    </w:p>
    <w:p w14:paraId="74635347" w14:textId="08BEC5CB" w:rsidR="31784731" w:rsidRPr="005F5ADA" w:rsidRDefault="7B68FEA6" w:rsidP="31784731">
      <w:pPr>
        <w:pStyle w:val="NormalWeb"/>
        <w:rPr>
          <w:rFonts w:ascii="Georgia" w:eastAsia="Georgia" w:hAnsi="Georgia" w:cs="Georgia"/>
          <w:b/>
          <w:bCs/>
          <w:sz w:val="22"/>
          <w:szCs w:val="22"/>
        </w:rPr>
      </w:pPr>
      <w:r w:rsidRPr="31784731">
        <w:rPr>
          <w:rFonts w:ascii="Georgia" w:eastAsia="Georgia" w:hAnsi="Georgia" w:cs="Georgia"/>
          <w:b/>
          <w:bCs/>
          <w:sz w:val="22"/>
          <w:szCs w:val="22"/>
        </w:rPr>
        <w:t>Local Policies</w:t>
      </w:r>
      <w:r w:rsidR="005F5ADA">
        <w:rPr>
          <w:rFonts w:ascii="Georgia" w:eastAsia="Georgia" w:hAnsi="Georgia" w:cs="Georgia"/>
          <w:b/>
          <w:bCs/>
          <w:sz w:val="22"/>
          <w:szCs w:val="22"/>
        </w:rPr>
        <w:br/>
      </w:r>
      <w:r w:rsidRPr="31784731">
        <w:rPr>
          <w:rFonts w:ascii="Georgia" w:eastAsia="Georgia" w:hAnsi="Georgia" w:cs="Georgia"/>
          <w:sz w:val="22"/>
          <w:szCs w:val="22"/>
        </w:rPr>
        <w:t>Local school districts have the authority to establish additional policies regarding grading, promotion, retention and graduation. Contact school districts for details on local policies.</w:t>
      </w:r>
    </w:p>
    <w:p w14:paraId="7499F3D7" w14:textId="1F2179DA" w:rsidR="31784731" w:rsidRDefault="68D157FB" w:rsidP="005F5ADA">
      <w:pPr>
        <w:pStyle w:val="NormalWeb"/>
        <w:rPr>
          <w:rFonts w:ascii="Georgia" w:eastAsia="Georgia" w:hAnsi="Georgia" w:cs="Georgia"/>
          <w:sz w:val="22"/>
          <w:szCs w:val="22"/>
        </w:rPr>
      </w:pPr>
      <w:r w:rsidRPr="31784731">
        <w:rPr>
          <w:rFonts w:ascii="Georgia" w:eastAsia="Georgia" w:hAnsi="Georgia" w:cs="Georgia"/>
          <w:sz w:val="22"/>
          <w:szCs w:val="22"/>
        </w:rPr>
        <w:t xml:space="preserve">Visit the </w:t>
      </w:r>
      <w:hyperlink r:id="rId11">
        <w:r w:rsidRPr="31784731">
          <w:rPr>
            <w:rStyle w:val="Hyperlink"/>
            <w:rFonts w:ascii="Georgia" w:eastAsia="Georgia" w:hAnsi="Georgia" w:cs="Georgia"/>
            <w:sz w:val="22"/>
            <w:szCs w:val="22"/>
          </w:rPr>
          <w:t xml:space="preserve">MDE COVID-19 update </w:t>
        </w:r>
        <w:r w:rsidR="35F1F4A4" w:rsidRPr="31784731">
          <w:rPr>
            <w:rStyle w:val="Hyperlink"/>
            <w:rFonts w:ascii="Georgia" w:eastAsia="Georgia" w:hAnsi="Georgia" w:cs="Georgia"/>
            <w:sz w:val="22"/>
            <w:szCs w:val="22"/>
          </w:rPr>
          <w:t>web</w:t>
        </w:r>
        <w:r w:rsidRPr="31784731">
          <w:rPr>
            <w:rStyle w:val="Hyperlink"/>
            <w:rFonts w:ascii="Georgia" w:eastAsia="Georgia" w:hAnsi="Georgia" w:cs="Georgia"/>
            <w:sz w:val="22"/>
            <w:szCs w:val="22"/>
          </w:rPr>
          <w:t>page</w:t>
        </w:r>
      </w:hyperlink>
      <w:r w:rsidRPr="31784731">
        <w:rPr>
          <w:rFonts w:ascii="Georgia" w:eastAsia="Georgia" w:hAnsi="Georgia" w:cs="Georgia"/>
          <w:sz w:val="22"/>
          <w:szCs w:val="22"/>
        </w:rPr>
        <w:t xml:space="preserve"> for additional guidance and Q&amp;A information.</w:t>
      </w:r>
    </w:p>
    <w:p w14:paraId="01B5408A" w14:textId="3E236C89" w:rsidR="163CEDF1" w:rsidRDefault="163CEDF1" w:rsidP="31784731">
      <w:pPr>
        <w:pStyle w:val="NormalWeb"/>
        <w:jc w:val="center"/>
        <w:rPr>
          <w:rFonts w:ascii="Georgia" w:eastAsia="Georgia" w:hAnsi="Georgia" w:cs="Georgia"/>
          <w:sz w:val="22"/>
          <w:szCs w:val="22"/>
        </w:rPr>
      </w:pPr>
      <w:r w:rsidRPr="31784731">
        <w:rPr>
          <w:rFonts w:ascii="Georgia" w:eastAsia="Georgia" w:hAnsi="Georgia" w:cs="Georgia"/>
          <w:sz w:val="22"/>
          <w:szCs w:val="22"/>
        </w:rPr>
        <w:t>###</w:t>
      </w:r>
    </w:p>
    <w:sectPr w:rsidR="163CEDF1" w:rsidSect="005715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A905C" w14:textId="77777777" w:rsidR="00B35803" w:rsidRDefault="00B35803" w:rsidP="00706220">
      <w:pPr>
        <w:spacing w:after="0" w:line="240" w:lineRule="auto"/>
      </w:pPr>
      <w:r>
        <w:separator/>
      </w:r>
    </w:p>
  </w:endnote>
  <w:endnote w:type="continuationSeparator" w:id="0">
    <w:p w14:paraId="3869675A" w14:textId="77777777" w:rsidR="00B35803" w:rsidRDefault="00B35803" w:rsidP="0070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9998" w14:textId="77777777" w:rsidR="00C82558" w:rsidRPr="008F0A8C" w:rsidRDefault="00C82558">
    <w:pPr>
      <w:pStyle w:val="Footer"/>
      <w:rPr>
        <w:sz w:val="18"/>
        <w:szCs w:val="18"/>
      </w:rPr>
    </w:pPr>
    <w:r w:rsidRPr="008F0A8C">
      <w:rPr>
        <w:color w:val="0F243E" w:themeColor="text2" w:themeShade="80"/>
        <w:sz w:val="18"/>
        <w:szCs w:val="18"/>
      </w:rPr>
      <w:t xml:space="preserve">Central High School Building   </w:t>
    </w:r>
    <w:proofErr w:type="gramStart"/>
    <w:r w:rsidRPr="008F0A8C">
      <w:rPr>
        <w:rFonts w:ascii="PressWriter Symbols" w:eastAsia="PressWriter Symbols" w:hAnsi="PressWriter Symbols" w:cs="PressWriter Symbols"/>
        <w:color w:val="0F243E" w:themeColor="text2" w:themeShade="80"/>
        <w:sz w:val="18"/>
        <w:szCs w:val="18"/>
      </w:rPr>
      <w:t></w:t>
    </w:r>
    <w:r w:rsidRPr="008F0A8C">
      <w:rPr>
        <w:color w:val="0F243E" w:themeColor="text2" w:themeShade="80"/>
        <w:sz w:val="18"/>
        <w:szCs w:val="18"/>
      </w:rPr>
      <w:t xml:space="preserve">  359</w:t>
    </w:r>
    <w:proofErr w:type="gramEnd"/>
    <w:r w:rsidRPr="008F0A8C">
      <w:rPr>
        <w:color w:val="0F243E" w:themeColor="text2" w:themeShade="80"/>
        <w:sz w:val="18"/>
        <w:szCs w:val="18"/>
      </w:rPr>
      <w:t xml:space="preserve"> North West Street   </w:t>
    </w:r>
    <w:r w:rsidRPr="008F0A8C">
      <w:rPr>
        <w:rFonts w:ascii="PressWriter Symbols" w:eastAsia="PressWriter Symbols" w:hAnsi="PressWriter Symbols" w:cs="PressWriter Symbols"/>
        <w:color w:val="0F243E" w:themeColor="text2" w:themeShade="80"/>
        <w:sz w:val="18"/>
        <w:szCs w:val="18"/>
      </w:rPr>
      <w:t></w:t>
    </w:r>
    <w:r w:rsidRPr="008F0A8C">
      <w:rPr>
        <w:b/>
        <w:color w:val="0F243E" w:themeColor="text2" w:themeShade="80"/>
        <w:sz w:val="18"/>
        <w:szCs w:val="18"/>
      </w:rPr>
      <w:t xml:space="preserve"> </w:t>
    </w:r>
    <w:r w:rsidRPr="008F0A8C">
      <w:rPr>
        <w:color w:val="0F243E" w:themeColor="text2" w:themeShade="80"/>
        <w:sz w:val="18"/>
        <w:szCs w:val="18"/>
      </w:rPr>
      <w:t xml:space="preserve">  P.O. Box 771   </w:t>
    </w:r>
    <w:r w:rsidRPr="008F0A8C">
      <w:rPr>
        <w:rFonts w:ascii="PressWriter Symbols" w:eastAsia="PressWriter Symbols" w:hAnsi="PressWriter Symbols" w:cs="PressWriter Symbols"/>
        <w:color w:val="0F243E" w:themeColor="text2" w:themeShade="80"/>
        <w:sz w:val="18"/>
        <w:szCs w:val="18"/>
      </w:rPr>
      <w:t></w:t>
    </w:r>
    <w:r w:rsidRPr="008F0A8C">
      <w:rPr>
        <w:b/>
        <w:color w:val="0F243E" w:themeColor="text2" w:themeShade="80"/>
        <w:sz w:val="18"/>
        <w:szCs w:val="18"/>
      </w:rPr>
      <w:t xml:space="preserve">   </w:t>
    </w:r>
    <w:r w:rsidRPr="008F0A8C">
      <w:rPr>
        <w:color w:val="0F243E" w:themeColor="text2" w:themeShade="80"/>
        <w:sz w:val="18"/>
        <w:szCs w:val="18"/>
      </w:rPr>
      <w:t xml:space="preserve"> Jackson, MS  39205-0771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36B20" w14:textId="77777777" w:rsidR="00B35803" w:rsidRDefault="00B35803" w:rsidP="00706220">
      <w:pPr>
        <w:spacing w:after="0" w:line="240" w:lineRule="auto"/>
      </w:pPr>
      <w:r>
        <w:separator/>
      </w:r>
    </w:p>
  </w:footnote>
  <w:footnote w:type="continuationSeparator" w:id="0">
    <w:p w14:paraId="5B56556A" w14:textId="77777777" w:rsidR="00B35803" w:rsidRDefault="00B35803" w:rsidP="0070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FAA2" w14:textId="77777777" w:rsidR="00C82558" w:rsidRPr="00816C2F" w:rsidRDefault="00C82558" w:rsidP="00362F29">
    <w:pPr>
      <w:spacing w:after="0"/>
      <w:jc w:val="center"/>
      <w:rPr>
        <w:rFonts w:ascii="Georgia" w:hAnsi="Georgia"/>
        <w:b/>
        <w:sz w:val="20"/>
        <w:szCs w:val="20"/>
      </w:rPr>
    </w:pPr>
    <w:r w:rsidRPr="00816C2F">
      <w:rPr>
        <w:rFonts w:ascii="Georgia" w:hAnsi="Georgia"/>
        <w:b/>
        <w:noProof/>
        <w:sz w:val="20"/>
        <w:szCs w:val="20"/>
      </w:rPr>
      <w:drawing>
        <wp:inline distT="0" distB="0" distL="0" distR="0" wp14:anchorId="26F0942A" wp14:editId="7670D576">
          <wp:extent cx="2705100" cy="120015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67" cy="1201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F8F996" w14:textId="77777777" w:rsidR="00C82558" w:rsidRPr="00816C2F" w:rsidRDefault="00C82558" w:rsidP="00362F29">
    <w:pPr>
      <w:spacing w:after="0"/>
      <w:jc w:val="center"/>
      <w:rPr>
        <w:rFonts w:ascii="Georgia" w:hAnsi="Georgia"/>
        <w:b/>
        <w:color w:val="17365D" w:themeColor="text2" w:themeShade="BF"/>
        <w:sz w:val="20"/>
        <w:szCs w:val="20"/>
      </w:rPr>
    </w:pPr>
    <w:r w:rsidRPr="00816C2F">
      <w:rPr>
        <w:rFonts w:ascii="Georgia" w:hAnsi="Georgia"/>
        <w:b/>
        <w:color w:val="17365D" w:themeColor="text2" w:themeShade="BF"/>
        <w:sz w:val="20"/>
        <w:szCs w:val="20"/>
      </w:rPr>
      <w:t xml:space="preserve">Carey M. Wright, </w:t>
    </w:r>
    <w:proofErr w:type="gramStart"/>
    <w:r w:rsidRPr="00816C2F">
      <w:rPr>
        <w:rFonts w:ascii="Georgia" w:hAnsi="Georgia"/>
        <w:b/>
        <w:color w:val="17365D" w:themeColor="text2" w:themeShade="BF"/>
        <w:sz w:val="20"/>
        <w:szCs w:val="20"/>
      </w:rPr>
      <w:t>Ed.D.,</w:t>
    </w:r>
    <w:proofErr w:type="gramEnd"/>
    <w:r w:rsidRPr="00816C2F">
      <w:rPr>
        <w:rFonts w:ascii="Georgia" w:hAnsi="Georgia"/>
        <w:b/>
        <w:color w:val="17365D" w:themeColor="text2" w:themeShade="BF"/>
        <w:sz w:val="20"/>
        <w:szCs w:val="20"/>
      </w:rPr>
      <w:t xml:space="preserve"> State Superintendent of Education</w:t>
    </w:r>
  </w:p>
  <w:p w14:paraId="5D8BB613" w14:textId="77777777" w:rsidR="00C82558" w:rsidRPr="00816C2F" w:rsidRDefault="00C82558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  <w:r w:rsidRPr="00816C2F">
      <w:rPr>
        <w:rFonts w:ascii="Georgia" w:hAnsi="Georgia"/>
        <w:color w:val="17365D" w:themeColor="text2" w:themeShade="BF"/>
        <w:sz w:val="20"/>
        <w:szCs w:val="20"/>
      </w:rPr>
      <w:t xml:space="preserve">Office of Communications &amp; </w:t>
    </w:r>
    <w:r w:rsidR="00A60574" w:rsidRPr="00816C2F">
      <w:rPr>
        <w:rFonts w:ascii="Georgia" w:hAnsi="Georgia"/>
        <w:color w:val="17365D" w:themeColor="text2" w:themeShade="BF"/>
        <w:sz w:val="20"/>
        <w:szCs w:val="20"/>
      </w:rPr>
      <w:t>Government Relations</w:t>
    </w:r>
  </w:p>
  <w:p w14:paraId="53D4D4C9" w14:textId="3138E0D6" w:rsidR="00C82558" w:rsidRPr="00816C2F" w:rsidRDefault="00C82558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  <w:r w:rsidRPr="00816C2F">
      <w:rPr>
        <w:rFonts w:ascii="Georgia" w:hAnsi="Georgia"/>
        <w:color w:val="17365D" w:themeColor="text2" w:themeShade="BF"/>
        <w:sz w:val="20"/>
        <w:szCs w:val="20"/>
      </w:rPr>
      <w:t xml:space="preserve">Patrice Guilfoyle, APR, Director of Communications </w:t>
    </w:r>
    <w:hyperlink r:id="rId2" w:history="1">
      <w:r w:rsidR="00424115" w:rsidRPr="000B1C83">
        <w:rPr>
          <w:rStyle w:val="Hyperlink"/>
          <w:rFonts w:ascii="Georgia" w:hAnsi="Georgia"/>
          <w:sz w:val="20"/>
          <w:szCs w:val="20"/>
        </w:rPr>
        <w:t>pguilfoyle@mdek12.org</w:t>
      </w:r>
    </w:hyperlink>
    <w:r w:rsidR="00424115">
      <w:rPr>
        <w:rFonts w:ascii="Georgia" w:hAnsi="Georgia"/>
        <w:color w:val="17365D" w:themeColor="text2" w:themeShade="BF"/>
        <w:sz w:val="20"/>
        <w:szCs w:val="20"/>
      </w:rPr>
      <w:t xml:space="preserve"> </w:t>
    </w:r>
    <w:r w:rsidRPr="00816C2F">
      <w:rPr>
        <w:rFonts w:ascii="Georgia" w:hAnsi="Georgia"/>
        <w:color w:val="17365D" w:themeColor="text2" w:themeShade="BF"/>
        <w:sz w:val="20"/>
        <w:szCs w:val="20"/>
      </w:rPr>
      <w:t xml:space="preserve"> </w:t>
    </w:r>
  </w:p>
  <w:p w14:paraId="26F413B7" w14:textId="1CBF2CC9" w:rsidR="00C82558" w:rsidRDefault="00C82558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  <w:r w:rsidRPr="00816C2F">
      <w:rPr>
        <w:rFonts w:ascii="Georgia" w:hAnsi="Georgia"/>
        <w:color w:val="17365D" w:themeColor="text2" w:themeShade="BF"/>
        <w:sz w:val="20"/>
        <w:szCs w:val="20"/>
      </w:rPr>
      <w:t xml:space="preserve">Jean Cook, </w:t>
    </w:r>
    <w:r w:rsidR="00C47626" w:rsidRPr="00816C2F">
      <w:rPr>
        <w:rFonts w:ascii="Georgia" w:hAnsi="Georgia"/>
        <w:color w:val="17365D" w:themeColor="text2" w:themeShade="BF"/>
        <w:sz w:val="20"/>
        <w:szCs w:val="20"/>
      </w:rPr>
      <w:t xml:space="preserve">APR, </w:t>
    </w:r>
    <w:r w:rsidR="00E27373">
      <w:rPr>
        <w:rFonts w:ascii="Georgia" w:hAnsi="Georgia"/>
        <w:color w:val="17365D" w:themeColor="text2" w:themeShade="BF"/>
        <w:sz w:val="20"/>
        <w:szCs w:val="20"/>
      </w:rPr>
      <w:t>Director of Public Relations</w:t>
    </w:r>
    <w:r w:rsidRPr="00816C2F">
      <w:rPr>
        <w:rFonts w:ascii="Georgia" w:hAnsi="Georgia"/>
        <w:color w:val="17365D" w:themeColor="text2" w:themeShade="BF"/>
        <w:sz w:val="20"/>
        <w:szCs w:val="20"/>
      </w:rPr>
      <w:t xml:space="preserve"> </w:t>
    </w:r>
    <w:hyperlink r:id="rId3" w:history="1">
      <w:r w:rsidR="00424115" w:rsidRPr="000B1C83">
        <w:rPr>
          <w:rStyle w:val="Hyperlink"/>
          <w:rFonts w:ascii="Georgia" w:hAnsi="Georgia"/>
          <w:sz w:val="20"/>
          <w:szCs w:val="20"/>
        </w:rPr>
        <w:t>jcook@mdek12.org</w:t>
      </w:r>
    </w:hyperlink>
    <w:r w:rsidR="00424115">
      <w:rPr>
        <w:rFonts w:ascii="Georgia" w:hAnsi="Georgia"/>
        <w:color w:val="17365D" w:themeColor="text2" w:themeShade="BF"/>
        <w:sz w:val="20"/>
        <w:szCs w:val="20"/>
      </w:rPr>
      <w:t xml:space="preserve"> </w:t>
    </w:r>
  </w:p>
  <w:p w14:paraId="24DE2EFB" w14:textId="77777777" w:rsidR="00424115" w:rsidRPr="00816C2F" w:rsidRDefault="00424115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2FC"/>
    <w:multiLevelType w:val="hybridMultilevel"/>
    <w:tmpl w:val="3752A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33F"/>
    <w:multiLevelType w:val="hybridMultilevel"/>
    <w:tmpl w:val="3320D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A53"/>
    <w:multiLevelType w:val="multilevel"/>
    <w:tmpl w:val="FC640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C28DE"/>
    <w:multiLevelType w:val="hybridMultilevel"/>
    <w:tmpl w:val="F32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2017"/>
    <w:multiLevelType w:val="multilevel"/>
    <w:tmpl w:val="86B411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84345"/>
    <w:multiLevelType w:val="hybridMultilevel"/>
    <w:tmpl w:val="BCC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4B13"/>
    <w:multiLevelType w:val="multilevel"/>
    <w:tmpl w:val="DE90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A5BE3"/>
    <w:multiLevelType w:val="hybridMultilevel"/>
    <w:tmpl w:val="CCDE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49BB"/>
    <w:multiLevelType w:val="hybridMultilevel"/>
    <w:tmpl w:val="91B66950"/>
    <w:lvl w:ilvl="0" w:tplc="9848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26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2C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6F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5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C9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A3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4A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43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DDE"/>
    <w:multiLevelType w:val="hybridMultilevel"/>
    <w:tmpl w:val="C662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3111"/>
    <w:multiLevelType w:val="hybridMultilevel"/>
    <w:tmpl w:val="4B50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7A0F"/>
    <w:multiLevelType w:val="multilevel"/>
    <w:tmpl w:val="AD145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32E84"/>
    <w:multiLevelType w:val="multilevel"/>
    <w:tmpl w:val="7B40E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413D6"/>
    <w:multiLevelType w:val="multilevel"/>
    <w:tmpl w:val="7EE4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A6AFB"/>
    <w:multiLevelType w:val="hybridMultilevel"/>
    <w:tmpl w:val="D9E0F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235E"/>
    <w:multiLevelType w:val="hybridMultilevel"/>
    <w:tmpl w:val="97CA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96770"/>
    <w:multiLevelType w:val="hybridMultilevel"/>
    <w:tmpl w:val="112871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2C230C"/>
    <w:multiLevelType w:val="hybridMultilevel"/>
    <w:tmpl w:val="8FA6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C1F37"/>
    <w:multiLevelType w:val="multilevel"/>
    <w:tmpl w:val="6D829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E088B"/>
    <w:multiLevelType w:val="hybridMultilevel"/>
    <w:tmpl w:val="E79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311D"/>
    <w:multiLevelType w:val="multilevel"/>
    <w:tmpl w:val="C660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77449"/>
    <w:multiLevelType w:val="multilevel"/>
    <w:tmpl w:val="E1180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E26ED"/>
    <w:multiLevelType w:val="hybridMultilevel"/>
    <w:tmpl w:val="0C9E5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A2070"/>
    <w:multiLevelType w:val="hybridMultilevel"/>
    <w:tmpl w:val="667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11EB4"/>
    <w:multiLevelType w:val="hybridMultilevel"/>
    <w:tmpl w:val="24506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D5793"/>
    <w:multiLevelType w:val="hybridMultilevel"/>
    <w:tmpl w:val="D9D4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05CEC"/>
    <w:multiLevelType w:val="hybridMultilevel"/>
    <w:tmpl w:val="B9941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A5C8F"/>
    <w:multiLevelType w:val="hybridMultilevel"/>
    <w:tmpl w:val="667C0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5791C"/>
    <w:multiLevelType w:val="hybridMultilevel"/>
    <w:tmpl w:val="DF2A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E287B"/>
    <w:multiLevelType w:val="hybridMultilevel"/>
    <w:tmpl w:val="87A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17"/>
  </w:num>
  <w:num w:numId="5">
    <w:abstractNumId w:val="5"/>
  </w:num>
  <w:num w:numId="6">
    <w:abstractNumId w:val="10"/>
  </w:num>
  <w:num w:numId="7">
    <w:abstractNumId w:val="0"/>
  </w:num>
  <w:num w:numId="8">
    <w:abstractNumId w:val="14"/>
  </w:num>
  <w:num w:numId="9">
    <w:abstractNumId w:val="25"/>
  </w:num>
  <w:num w:numId="10">
    <w:abstractNumId w:val="9"/>
  </w:num>
  <w:num w:numId="11">
    <w:abstractNumId w:val="13"/>
  </w:num>
  <w:num w:numId="12">
    <w:abstractNumId w:val="6"/>
  </w:num>
  <w:num w:numId="13">
    <w:abstractNumId w:val="23"/>
  </w:num>
  <w:num w:numId="14">
    <w:abstractNumId w:val="3"/>
  </w:num>
  <w:num w:numId="15">
    <w:abstractNumId w:val="22"/>
  </w:num>
  <w:num w:numId="16">
    <w:abstractNumId w:val="29"/>
  </w:num>
  <w:num w:numId="17">
    <w:abstractNumId w:val="1"/>
  </w:num>
  <w:num w:numId="18">
    <w:abstractNumId w:val="24"/>
  </w:num>
  <w:num w:numId="19">
    <w:abstractNumId w:val="16"/>
  </w:num>
  <w:num w:numId="20">
    <w:abstractNumId w:val="15"/>
  </w:num>
  <w:num w:numId="21">
    <w:abstractNumId w:val="19"/>
  </w:num>
  <w:num w:numId="22">
    <w:abstractNumId w:val="7"/>
  </w:num>
  <w:num w:numId="23">
    <w:abstractNumId w:val="28"/>
  </w:num>
  <w:num w:numId="24">
    <w:abstractNumId w:val="20"/>
  </w:num>
  <w:num w:numId="25">
    <w:abstractNumId w:val="18"/>
  </w:num>
  <w:num w:numId="26">
    <w:abstractNumId w:val="12"/>
  </w:num>
  <w:num w:numId="27">
    <w:abstractNumId w:val="21"/>
  </w:num>
  <w:num w:numId="28">
    <w:abstractNumId w:val="11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20"/>
    <w:rsid w:val="000017EA"/>
    <w:rsid w:val="00001E94"/>
    <w:rsid w:val="00012BE4"/>
    <w:rsid w:val="0001345F"/>
    <w:rsid w:val="00022F0A"/>
    <w:rsid w:val="0002684C"/>
    <w:rsid w:val="00042E69"/>
    <w:rsid w:val="00051A6B"/>
    <w:rsid w:val="00064D26"/>
    <w:rsid w:val="00066D3B"/>
    <w:rsid w:val="00074DD5"/>
    <w:rsid w:val="00084202"/>
    <w:rsid w:val="00090A3A"/>
    <w:rsid w:val="00097206"/>
    <w:rsid w:val="00097DAF"/>
    <w:rsid w:val="000B0F1E"/>
    <w:rsid w:val="000D502F"/>
    <w:rsid w:val="0012089C"/>
    <w:rsid w:val="00133B0A"/>
    <w:rsid w:val="0014373E"/>
    <w:rsid w:val="00146498"/>
    <w:rsid w:val="00153AB1"/>
    <w:rsid w:val="00161196"/>
    <w:rsid w:val="00164C3A"/>
    <w:rsid w:val="00172789"/>
    <w:rsid w:val="00185F95"/>
    <w:rsid w:val="0018662E"/>
    <w:rsid w:val="001A039B"/>
    <w:rsid w:val="001A2FD5"/>
    <w:rsid w:val="001A37E2"/>
    <w:rsid w:val="001A3D80"/>
    <w:rsid w:val="001C0BCD"/>
    <w:rsid w:val="001C5B27"/>
    <w:rsid w:val="001E07DE"/>
    <w:rsid w:val="001F2743"/>
    <w:rsid w:val="001F2B1B"/>
    <w:rsid w:val="002026CF"/>
    <w:rsid w:val="002165CB"/>
    <w:rsid w:val="0022264A"/>
    <w:rsid w:val="00222FDD"/>
    <w:rsid w:val="00223AE4"/>
    <w:rsid w:val="00262669"/>
    <w:rsid w:val="0027433B"/>
    <w:rsid w:val="002803DD"/>
    <w:rsid w:val="0028136C"/>
    <w:rsid w:val="00283B7E"/>
    <w:rsid w:val="00284810"/>
    <w:rsid w:val="00287E2C"/>
    <w:rsid w:val="002B6B4E"/>
    <w:rsid w:val="002D3B6D"/>
    <w:rsid w:val="002D58CB"/>
    <w:rsid w:val="002E6349"/>
    <w:rsid w:val="002F660D"/>
    <w:rsid w:val="00302F83"/>
    <w:rsid w:val="00306C60"/>
    <w:rsid w:val="0031394B"/>
    <w:rsid w:val="00334DC6"/>
    <w:rsid w:val="00354CF8"/>
    <w:rsid w:val="00362F29"/>
    <w:rsid w:val="003642F8"/>
    <w:rsid w:val="0037796F"/>
    <w:rsid w:val="00390E02"/>
    <w:rsid w:val="003910B2"/>
    <w:rsid w:val="00397D14"/>
    <w:rsid w:val="003B355E"/>
    <w:rsid w:val="003B3C01"/>
    <w:rsid w:val="003B4287"/>
    <w:rsid w:val="003B49EF"/>
    <w:rsid w:val="003B6723"/>
    <w:rsid w:val="003B7AF6"/>
    <w:rsid w:val="003C5F61"/>
    <w:rsid w:val="003E28A7"/>
    <w:rsid w:val="003E4B09"/>
    <w:rsid w:val="0040064F"/>
    <w:rsid w:val="00413D61"/>
    <w:rsid w:val="0041575B"/>
    <w:rsid w:val="00421462"/>
    <w:rsid w:val="00424115"/>
    <w:rsid w:val="00433B40"/>
    <w:rsid w:val="00440B42"/>
    <w:rsid w:val="00450EA1"/>
    <w:rsid w:val="00452EA0"/>
    <w:rsid w:val="004676F8"/>
    <w:rsid w:val="00476FA0"/>
    <w:rsid w:val="004812DD"/>
    <w:rsid w:val="00484285"/>
    <w:rsid w:val="00494981"/>
    <w:rsid w:val="004B0AED"/>
    <w:rsid w:val="004B61BF"/>
    <w:rsid w:val="004B6A9E"/>
    <w:rsid w:val="004C0B11"/>
    <w:rsid w:val="004C0B76"/>
    <w:rsid w:val="004C0BA2"/>
    <w:rsid w:val="004E58D1"/>
    <w:rsid w:val="004E6BF4"/>
    <w:rsid w:val="004F0B79"/>
    <w:rsid w:val="00501B03"/>
    <w:rsid w:val="00531966"/>
    <w:rsid w:val="00552DB6"/>
    <w:rsid w:val="005550B7"/>
    <w:rsid w:val="005715E0"/>
    <w:rsid w:val="005979F9"/>
    <w:rsid w:val="005A5BE9"/>
    <w:rsid w:val="005C5040"/>
    <w:rsid w:val="005D2FA1"/>
    <w:rsid w:val="005E202A"/>
    <w:rsid w:val="005E6191"/>
    <w:rsid w:val="005F0561"/>
    <w:rsid w:val="005F5ADA"/>
    <w:rsid w:val="005F797D"/>
    <w:rsid w:val="00604F04"/>
    <w:rsid w:val="006167EA"/>
    <w:rsid w:val="0062140A"/>
    <w:rsid w:val="00623E3D"/>
    <w:rsid w:val="006312E1"/>
    <w:rsid w:val="00632302"/>
    <w:rsid w:val="00633CDC"/>
    <w:rsid w:val="00645BB6"/>
    <w:rsid w:val="00651D68"/>
    <w:rsid w:val="00654DC2"/>
    <w:rsid w:val="00654EAF"/>
    <w:rsid w:val="00696A28"/>
    <w:rsid w:val="006D1266"/>
    <w:rsid w:val="006E267F"/>
    <w:rsid w:val="006E3B63"/>
    <w:rsid w:val="006E541D"/>
    <w:rsid w:val="006E56F1"/>
    <w:rsid w:val="006F5740"/>
    <w:rsid w:val="00706220"/>
    <w:rsid w:val="007071F9"/>
    <w:rsid w:val="00710049"/>
    <w:rsid w:val="007152DF"/>
    <w:rsid w:val="007329D2"/>
    <w:rsid w:val="0075079D"/>
    <w:rsid w:val="00755E45"/>
    <w:rsid w:val="0076414E"/>
    <w:rsid w:val="00771623"/>
    <w:rsid w:val="00783998"/>
    <w:rsid w:val="00792AF5"/>
    <w:rsid w:val="007B651B"/>
    <w:rsid w:val="007B680F"/>
    <w:rsid w:val="007B77A8"/>
    <w:rsid w:val="007B7967"/>
    <w:rsid w:val="007D21CD"/>
    <w:rsid w:val="007D3344"/>
    <w:rsid w:val="007D686D"/>
    <w:rsid w:val="007E2E5F"/>
    <w:rsid w:val="00805DBF"/>
    <w:rsid w:val="0080622E"/>
    <w:rsid w:val="00815272"/>
    <w:rsid w:val="00816C2F"/>
    <w:rsid w:val="008243DE"/>
    <w:rsid w:val="00833CC2"/>
    <w:rsid w:val="00835167"/>
    <w:rsid w:val="00837B45"/>
    <w:rsid w:val="008511A9"/>
    <w:rsid w:val="008520A8"/>
    <w:rsid w:val="00864F05"/>
    <w:rsid w:val="008727EB"/>
    <w:rsid w:val="00877535"/>
    <w:rsid w:val="00883A8E"/>
    <w:rsid w:val="0088767E"/>
    <w:rsid w:val="008A525A"/>
    <w:rsid w:val="008A63B4"/>
    <w:rsid w:val="008B0757"/>
    <w:rsid w:val="008B1B9A"/>
    <w:rsid w:val="008B1FDC"/>
    <w:rsid w:val="008C5116"/>
    <w:rsid w:val="008E5C75"/>
    <w:rsid w:val="008E6049"/>
    <w:rsid w:val="008E67D4"/>
    <w:rsid w:val="008F0A8C"/>
    <w:rsid w:val="009102FE"/>
    <w:rsid w:val="009152B1"/>
    <w:rsid w:val="00916779"/>
    <w:rsid w:val="0092508E"/>
    <w:rsid w:val="00932A93"/>
    <w:rsid w:val="009377D6"/>
    <w:rsid w:val="00942E24"/>
    <w:rsid w:val="00960268"/>
    <w:rsid w:val="00960A43"/>
    <w:rsid w:val="009617EB"/>
    <w:rsid w:val="0096396D"/>
    <w:rsid w:val="00964FB6"/>
    <w:rsid w:val="00984235"/>
    <w:rsid w:val="00990922"/>
    <w:rsid w:val="00990B45"/>
    <w:rsid w:val="00995903"/>
    <w:rsid w:val="009A2463"/>
    <w:rsid w:val="009D2D1A"/>
    <w:rsid w:val="009D4C16"/>
    <w:rsid w:val="009F1106"/>
    <w:rsid w:val="009F61A6"/>
    <w:rsid w:val="00A05CFE"/>
    <w:rsid w:val="00A26BBF"/>
    <w:rsid w:val="00A36CBF"/>
    <w:rsid w:val="00A458B4"/>
    <w:rsid w:val="00A551FB"/>
    <w:rsid w:val="00A60574"/>
    <w:rsid w:val="00A651BA"/>
    <w:rsid w:val="00A73C7E"/>
    <w:rsid w:val="00A90DDF"/>
    <w:rsid w:val="00A938D2"/>
    <w:rsid w:val="00A94426"/>
    <w:rsid w:val="00A9612A"/>
    <w:rsid w:val="00AA2A36"/>
    <w:rsid w:val="00AA5C57"/>
    <w:rsid w:val="00AC1FFD"/>
    <w:rsid w:val="00AE0996"/>
    <w:rsid w:val="00AF1012"/>
    <w:rsid w:val="00B11012"/>
    <w:rsid w:val="00B15FAA"/>
    <w:rsid w:val="00B300E0"/>
    <w:rsid w:val="00B34AFC"/>
    <w:rsid w:val="00B35803"/>
    <w:rsid w:val="00B411D0"/>
    <w:rsid w:val="00B43EF8"/>
    <w:rsid w:val="00B65432"/>
    <w:rsid w:val="00B844A3"/>
    <w:rsid w:val="00BB10FE"/>
    <w:rsid w:val="00BB628A"/>
    <w:rsid w:val="00BE5ABB"/>
    <w:rsid w:val="00BF33BE"/>
    <w:rsid w:val="00C04766"/>
    <w:rsid w:val="00C107FF"/>
    <w:rsid w:val="00C14BA9"/>
    <w:rsid w:val="00C15006"/>
    <w:rsid w:val="00C1788D"/>
    <w:rsid w:val="00C269B7"/>
    <w:rsid w:val="00C43C92"/>
    <w:rsid w:val="00C44291"/>
    <w:rsid w:val="00C47626"/>
    <w:rsid w:val="00C5173D"/>
    <w:rsid w:val="00C577E9"/>
    <w:rsid w:val="00C703A4"/>
    <w:rsid w:val="00C72C91"/>
    <w:rsid w:val="00C75C95"/>
    <w:rsid w:val="00C82558"/>
    <w:rsid w:val="00C90CA3"/>
    <w:rsid w:val="00C93A83"/>
    <w:rsid w:val="00CA066E"/>
    <w:rsid w:val="00CA6757"/>
    <w:rsid w:val="00CB209C"/>
    <w:rsid w:val="00CB30A5"/>
    <w:rsid w:val="00CB34FB"/>
    <w:rsid w:val="00CC04F6"/>
    <w:rsid w:val="00CC0CB1"/>
    <w:rsid w:val="00CD2F12"/>
    <w:rsid w:val="00CE2C72"/>
    <w:rsid w:val="00CF068A"/>
    <w:rsid w:val="00D02B40"/>
    <w:rsid w:val="00D038F6"/>
    <w:rsid w:val="00D06A55"/>
    <w:rsid w:val="00D10D3C"/>
    <w:rsid w:val="00D10E52"/>
    <w:rsid w:val="00D143E4"/>
    <w:rsid w:val="00D1693A"/>
    <w:rsid w:val="00D34441"/>
    <w:rsid w:val="00D42CFF"/>
    <w:rsid w:val="00D5067E"/>
    <w:rsid w:val="00D6514C"/>
    <w:rsid w:val="00D74699"/>
    <w:rsid w:val="00D77F55"/>
    <w:rsid w:val="00D840E8"/>
    <w:rsid w:val="00D95B77"/>
    <w:rsid w:val="00D95E5E"/>
    <w:rsid w:val="00D97B1E"/>
    <w:rsid w:val="00DA7AFC"/>
    <w:rsid w:val="00DB2F82"/>
    <w:rsid w:val="00DB392B"/>
    <w:rsid w:val="00DD13F6"/>
    <w:rsid w:val="00DD2261"/>
    <w:rsid w:val="00DF0742"/>
    <w:rsid w:val="00DF3CAA"/>
    <w:rsid w:val="00DF6DE6"/>
    <w:rsid w:val="00E06A75"/>
    <w:rsid w:val="00E13DA6"/>
    <w:rsid w:val="00E16C25"/>
    <w:rsid w:val="00E21F30"/>
    <w:rsid w:val="00E22637"/>
    <w:rsid w:val="00E260C1"/>
    <w:rsid w:val="00E27373"/>
    <w:rsid w:val="00E34CD7"/>
    <w:rsid w:val="00E6306F"/>
    <w:rsid w:val="00E63719"/>
    <w:rsid w:val="00E71FFB"/>
    <w:rsid w:val="00E86ED2"/>
    <w:rsid w:val="00E92894"/>
    <w:rsid w:val="00EA2B06"/>
    <w:rsid w:val="00EB2309"/>
    <w:rsid w:val="00EB288F"/>
    <w:rsid w:val="00EC27D7"/>
    <w:rsid w:val="00EE0260"/>
    <w:rsid w:val="00EF2FFE"/>
    <w:rsid w:val="00F0341C"/>
    <w:rsid w:val="00F241BE"/>
    <w:rsid w:val="00F245A2"/>
    <w:rsid w:val="00F326D2"/>
    <w:rsid w:val="00F64355"/>
    <w:rsid w:val="00F64811"/>
    <w:rsid w:val="00F65E1C"/>
    <w:rsid w:val="00F84E37"/>
    <w:rsid w:val="00F97307"/>
    <w:rsid w:val="00FA693C"/>
    <w:rsid w:val="00FB7B9E"/>
    <w:rsid w:val="00FD7711"/>
    <w:rsid w:val="00FE2E1C"/>
    <w:rsid w:val="00FE3370"/>
    <w:rsid w:val="00FE5931"/>
    <w:rsid w:val="00FF1B49"/>
    <w:rsid w:val="00FF5DA2"/>
    <w:rsid w:val="01808A9E"/>
    <w:rsid w:val="018F9FB8"/>
    <w:rsid w:val="01F861AD"/>
    <w:rsid w:val="0207A34B"/>
    <w:rsid w:val="021FCBD2"/>
    <w:rsid w:val="023CA298"/>
    <w:rsid w:val="037374BB"/>
    <w:rsid w:val="03AF2F6C"/>
    <w:rsid w:val="03C0C9EE"/>
    <w:rsid w:val="03C3B3B3"/>
    <w:rsid w:val="04901362"/>
    <w:rsid w:val="04BB3E65"/>
    <w:rsid w:val="04E018EE"/>
    <w:rsid w:val="04EDC054"/>
    <w:rsid w:val="075A533A"/>
    <w:rsid w:val="07D6FB84"/>
    <w:rsid w:val="08101046"/>
    <w:rsid w:val="081C3011"/>
    <w:rsid w:val="09D6B599"/>
    <w:rsid w:val="09D6C844"/>
    <w:rsid w:val="0A3640C1"/>
    <w:rsid w:val="0A6B6927"/>
    <w:rsid w:val="0C3B408E"/>
    <w:rsid w:val="0C59BE01"/>
    <w:rsid w:val="0C777467"/>
    <w:rsid w:val="0C91BECE"/>
    <w:rsid w:val="0CCB3F5F"/>
    <w:rsid w:val="0D0DCE42"/>
    <w:rsid w:val="0D47F9A9"/>
    <w:rsid w:val="0DB9704E"/>
    <w:rsid w:val="0E18116A"/>
    <w:rsid w:val="0E741988"/>
    <w:rsid w:val="0EA921CB"/>
    <w:rsid w:val="0EABEA09"/>
    <w:rsid w:val="0F19BD48"/>
    <w:rsid w:val="0F21DC88"/>
    <w:rsid w:val="0F5B2CE0"/>
    <w:rsid w:val="0FA647D2"/>
    <w:rsid w:val="103E102A"/>
    <w:rsid w:val="111F27DA"/>
    <w:rsid w:val="116F42FE"/>
    <w:rsid w:val="129F281C"/>
    <w:rsid w:val="12A3B0E5"/>
    <w:rsid w:val="12C87783"/>
    <w:rsid w:val="1335D3B8"/>
    <w:rsid w:val="134D8222"/>
    <w:rsid w:val="138F026C"/>
    <w:rsid w:val="13AC98B5"/>
    <w:rsid w:val="145AB478"/>
    <w:rsid w:val="147FEC37"/>
    <w:rsid w:val="14F87274"/>
    <w:rsid w:val="160271A9"/>
    <w:rsid w:val="163CEDF1"/>
    <w:rsid w:val="172026A0"/>
    <w:rsid w:val="175C7344"/>
    <w:rsid w:val="1787FA91"/>
    <w:rsid w:val="1789DC6B"/>
    <w:rsid w:val="1AE8F064"/>
    <w:rsid w:val="1B99C008"/>
    <w:rsid w:val="1BB6E141"/>
    <w:rsid w:val="1C48C7CC"/>
    <w:rsid w:val="1CE09B11"/>
    <w:rsid w:val="1DB49B9A"/>
    <w:rsid w:val="1E9C4D37"/>
    <w:rsid w:val="1EA28D1E"/>
    <w:rsid w:val="1F0E44A5"/>
    <w:rsid w:val="1F22DA9B"/>
    <w:rsid w:val="1F9EF937"/>
    <w:rsid w:val="1FB1B677"/>
    <w:rsid w:val="1FD5605A"/>
    <w:rsid w:val="2008F6A9"/>
    <w:rsid w:val="2025C166"/>
    <w:rsid w:val="207A40ED"/>
    <w:rsid w:val="208D9ED9"/>
    <w:rsid w:val="215E2E6F"/>
    <w:rsid w:val="21BBF62A"/>
    <w:rsid w:val="2226DEE8"/>
    <w:rsid w:val="223351E8"/>
    <w:rsid w:val="2275CC4F"/>
    <w:rsid w:val="22E34061"/>
    <w:rsid w:val="2361DF84"/>
    <w:rsid w:val="23B90BEA"/>
    <w:rsid w:val="241AB1B0"/>
    <w:rsid w:val="246952D5"/>
    <w:rsid w:val="249DAF22"/>
    <w:rsid w:val="25395D54"/>
    <w:rsid w:val="262CF2BE"/>
    <w:rsid w:val="26F64DD7"/>
    <w:rsid w:val="273C9B1E"/>
    <w:rsid w:val="2761381B"/>
    <w:rsid w:val="277552E5"/>
    <w:rsid w:val="282B08F2"/>
    <w:rsid w:val="287DDA0D"/>
    <w:rsid w:val="287E0E76"/>
    <w:rsid w:val="288FD943"/>
    <w:rsid w:val="28CD5B47"/>
    <w:rsid w:val="29739C62"/>
    <w:rsid w:val="29DC5C7B"/>
    <w:rsid w:val="2A9BA4C0"/>
    <w:rsid w:val="2ACA197C"/>
    <w:rsid w:val="2AEF12DF"/>
    <w:rsid w:val="2B48DA8F"/>
    <w:rsid w:val="2B4F173B"/>
    <w:rsid w:val="2B7A5214"/>
    <w:rsid w:val="2CD3FA95"/>
    <w:rsid w:val="2CDBDA73"/>
    <w:rsid w:val="2D28CFFB"/>
    <w:rsid w:val="2DA7D013"/>
    <w:rsid w:val="2DD117D5"/>
    <w:rsid w:val="2DE16422"/>
    <w:rsid w:val="2E2D0C12"/>
    <w:rsid w:val="2E417234"/>
    <w:rsid w:val="2EFEC661"/>
    <w:rsid w:val="2F04A19E"/>
    <w:rsid w:val="2F644A8A"/>
    <w:rsid w:val="30308718"/>
    <w:rsid w:val="3069452D"/>
    <w:rsid w:val="30ADCE4B"/>
    <w:rsid w:val="30BAF6C6"/>
    <w:rsid w:val="30CD017F"/>
    <w:rsid w:val="30E2BF8A"/>
    <w:rsid w:val="31784731"/>
    <w:rsid w:val="32431CBE"/>
    <w:rsid w:val="3260EBD0"/>
    <w:rsid w:val="3271A46D"/>
    <w:rsid w:val="335C8725"/>
    <w:rsid w:val="33E42BE6"/>
    <w:rsid w:val="34F47D93"/>
    <w:rsid w:val="350872B6"/>
    <w:rsid w:val="35F1F4A4"/>
    <w:rsid w:val="362DEBB9"/>
    <w:rsid w:val="36AEB540"/>
    <w:rsid w:val="36B7C4A9"/>
    <w:rsid w:val="370700D3"/>
    <w:rsid w:val="370E46EB"/>
    <w:rsid w:val="372FA136"/>
    <w:rsid w:val="37D2F4E2"/>
    <w:rsid w:val="38D27F2B"/>
    <w:rsid w:val="391EEEBF"/>
    <w:rsid w:val="3923184C"/>
    <w:rsid w:val="39D26419"/>
    <w:rsid w:val="39DC62EF"/>
    <w:rsid w:val="39FE5356"/>
    <w:rsid w:val="3A8622B5"/>
    <w:rsid w:val="3A9549B4"/>
    <w:rsid w:val="3AE694D1"/>
    <w:rsid w:val="3AF48531"/>
    <w:rsid w:val="3B3FCF1D"/>
    <w:rsid w:val="3C4A168E"/>
    <w:rsid w:val="3CC5BB14"/>
    <w:rsid w:val="3D96258A"/>
    <w:rsid w:val="3DDE19A9"/>
    <w:rsid w:val="3F3089CF"/>
    <w:rsid w:val="3F36A60A"/>
    <w:rsid w:val="3FB26843"/>
    <w:rsid w:val="3FEBE836"/>
    <w:rsid w:val="400DF680"/>
    <w:rsid w:val="407290AA"/>
    <w:rsid w:val="40C7F97A"/>
    <w:rsid w:val="41306DC9"/>
    <w:rsid w:val="414251C7"/>
    <w:rsid w:val="41C3AABA"/>
    <w:rsid w:val="41EAD96B"/>
    <w:rsid w:val="43246F45"/>
    <w:rsid w:val="433813F1"/>
    <w:rsid w:val="43B7E0BD"/>
    <w:rsid w:val="43DE0DA0"/>
    <w:rsid w:val="442BB845"/>
    <w:rsid w:val="444C660C"/>
    <w:rsid w:val="452732F0"/>
    <w:rsid w:val="4545531F"/>
    <w:rsid w:val="466AEF3E"/>
    <w:rsid w:val="47279280"/>
    <w:rsid w:val="472DB7AA"/>
    <w:rsid w:val="47C1039D"/>
    <w:rsid w:val="47EFB744"/>
    <w:rsid w:val="4843C7C3"/>
    <w:rsid w:val="4938224C"/>
    <w:rsid w:val="498043CC"/>
    <w:rsid w:val="4B284DB5"/>
    <w:rsid w:val="4B551340"/>
    <w:rsid w:val="4BA3B557"/>
    <w:rsid w:val="4BB44C86"/>
    <w:rsid w:val="4BBAA377"/>
    <w:rsid w:val="4C07EDF1"/>
    <w:rsid w:val="4C2C3E79"/>
    <w:rsid w:val="4D4697C9"/>
    <w:rsid w:val="4D8BB64B"/>
    <w:rsid w:val="4E778C5E"/>
    <w:rsid w:val="4E90376F"/>
    <w:rsid w:val="4EBA89AE"/>
    <w:rsid w:val="4ECF8648"/>
    <w:rsid w:val="4EECEE93"/>
    <w:rsid w:val="4F80DCED"/>
    <w:rsid w:val="4FC88BAF"/>
    <w:rsid w:val="50B0E506"/>
    <w:rsid w:val="511B6735"/>
    <w:rsid w:val="5138FC3A"/>
    <w:rsid w:val="54206361"/>
    <w:rsid w:val="54325791"/>
    <w:rsid w:val="55C56112"/>
    <w:rsid w:val="5614265E"/>
    <w:rsid w:val="56AB7878"/>
    <w:rsid w:val="5712D724"/>
    <w:rsid w:val="5773D085"/>
    <w:rsid w:val="5812AD05"/>
    <w:rsid w:val="58324EB7"/>
    <w:rsid w:val="58E402AB"/>
    <w:rsid w:val="58ED4580"/>
    <w:rsid w:val="59306A50"/>
    <w:rsid w:val="59321069"/>
    <w:rsid w:val="595B2C30"/>
    <w:rsid w:val="5998837B"/>
    <w:rsid w:val="59FAA686"/>
    <w:rsid w:val="5A1B89DB"/>
    <w:rsid w:val="5A42322B"/>
    <w:rsid w:val="5A42EE6D"/>
    <w:rsid w:val="5A7B2D26"/>
    <w:rsid w:val="5ADC11D5"/>
    <w:rsid w:val="5AE1CCA9"/>
    <w:rsid w:val="5AFFB55F"/>
    <w:rsid w:val="5B997AC9"/>
    <w:rsid w:val="5C3AAC72"/>
    <w:rsid w:val="5C627D6A"/>
    <w:rsid w:val="5E048D9B"/>
    <w:rsid w:val="5ECB8401"/>
    <w:rsid w:val="5EFB602A"/>
    <w:rsid w:val="5F201132"/>
    <w:rsid w:val="5FC65322"/>
    <w:rsid w:val="5FEB88D4"/>
    <w:rsid w:val="6098323A"/>
    <w:rsid w:val="60FE7171"/>
    <w:rsid w:val="61421353"/>
    <w:rsid w:val="61747292"/>
    <w:rsid w:val="61D69B55"/>
    <w:rsid w:val="61EC9A26"/>
    <w:rsid w:val="621BE1D9"/>
    <w:rsid w:val="621D6AFB"/>
    <w:rsid w:val="6310FB1D"/>
    <w:rsid w:val="635C40F2"/>
    <w:rsid w:val="6364B3DB"/>
    <w:rsid w:val="63DA9685"/>
    <w:rsid w:val="64683E91"/>
    <w:rsid w:val="648B07D3"/>
    <w:rsid w:val="6574E59E"/>
    <w:rsid w:val="657B1BB4"/>
    <w:rsid w:val="659CC1E9"/>
    <w:rsid w:val="65B9B9AF"/>
    <w:rsid w:val="6651B550"/>
    <w:rsid w:val="66740B25"/>
    <w:rsid w:val="66C397C8"/>
    <w:rsid w:val="686E34F7"/>
    <w:rsid w:val="6879DDB6"/>
    <w:rsid w:val="68AF4CEB"/>
    <w:rsid w:val="68D157FB"/>
    <w:rsid w:val="690A6963"/>
    <w:rsid w:val="696E841D"/>
    <w:rsid w:val="69D1F924"/>
    <w:rsid w:val="6BDB6460"/>
    <w:rsid w:val="6BF96606"/>
    <w:rsid w:val="6C3ED34A"/>
    <w:rsid w:val="6CB40557"/>
    <w:rsid w:val="6D860FF5"/>
    <w:rsid w:val="6DBFAEC7"/>
    <w:rsid w:val="6E56FB10"/>
    <w:rsid w:val="6F02080F"/>
    <w:rsid w:val="6F56D578"/>
    <w:rsid w:val="6FF5A7A1"/>
    <w:rsid w:val="710741E0"/>
    <w:rsid w:val="71C43701"/>
    <w:rsid w:val="72235A93"/>
    <w:rsid w:val="72EE1914"/>
    <w:rsid w:val="72F8163C"/>
    <w:rsid w:val="734E8DA2"/>
    <w:rsid w:val="737A1FC6"/>
    <w:rsid w:val="73AE7542"/>
    <w:rsid w:val="7416EFD4"/>
    <w:rsid w:val="74172631"/>
    <w:rsid w:val="74619499"/>
    <w:rsid w:val="74ABDAAF"/>
    <w:rsid w:val="74CBD37A"/>
    <w:rsid w:val="75218C47"/>
    <w:rsid w:val="7559F093"/>
    <w:rsid w:val="75605C18"/>
    <w:rsid w:val="758C8436"/>
    <w:rsid w:val="75C64368"/>
    <w:rsid w:val="7602B421"/>
    <w:rsid w:val="760EEA5E"/>
    <w:rsid w:val="76F50A4C"/>
    <w:rsid w:val="771419A3"/>
    <w:rsid w:val="77ACE52E"/>
    <w:rsid w:val="77C340F1"/>
    <w:rsid w:val="77E7BD7F"/>
    <w:rsid w:val="78474A8E"/>
    <w:rsid w:val="78894345"/>
    <w:rsid w:val="78921843"/>
    <w:rsid w:val="79DAE08C"/>
    <w:rsid w:val="7A05925E"/>
    <w:rsid w:val="7A40282A"/>
    <w:rsid w:val="7A674E7A"/>
    <w:rsid w:val="7A8EC45E"/>
    <w:rsid w:val="7AA5E867"/>
    <w:rsid w:val="7AB6D9E3"/>
    <w:rsid w:val="7B64225F"/>
    <w:rsid w:val="7B68FEA6"/>
    <w:rsid w:val="7B9683D0"/>
    <w:rsid w:val="7C447974"/>
    <w:rsid w:val="7CE20589"/>
    <w:rsid w:val="7CE88022"/>
    <w:rsid w:val="7DE86931"/>
    <w:rsid w:val="7E83CA06"/>
    <w:rsid w:val="7EBAD6D6"/>
    <w:rsid w:val="7EC3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A726"/>
  <w15:docId w15:val="{329F0488-DB03-4BA2-AB5E-374194E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F55"/>
  </w:style>
  <w:style w:type="paragraph" w:styleId="Heading1">
    <w:name w:val="heading 1"/>
    <w:basedOn w:val="Normal"/>
    <w:link w:val="Heading1Char"/>
    <w:uiPriority w:val="9"/>
    <w:qFormat/>
    <w:rsid w:val="00223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20"/>
  </w:style>
  <w:style w:type="paragraph" w:styleId="Footer">
    <w:name w:val="footer"/>
    <w:basedOn w:val="Normal"/>
    <w:link w:val="FooterChar"/>
    <w:uiPriority w:val="99"/>
    <w:unhideWhenUsed/>
    <w:rsid w:val="0070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20"/>
  </w:style>
  <w:style w:type="paragraph" w:styleId="BalloonText">
    <w:name w:val="Balloon Text"/>
    <w:basedOn w:val="Normal"/>
    <w:link w:val="BalloonTextChar"/>
    <w:uiPriority w:val="99"/>
    <w:semiHidden/>
    <w:unhideWhenUsed/>
    <w:rsid w:val="0070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B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17EB"/>
    <w:rPr>
      <w:b/>
      <w:bCs/>
    </w:rPr>
  </w:style>
  <w:style w:type="paragraph" w:customStyle="1" w:styleId="NormalWeb1">
    <w:name w:val="Normal (Web)1"/>
    <w:rsid w:val="000D502F"/>
    <w:pPr>
      <w:spacing w:after="0" w:line="240" w:lineRule="atLeast"/>
    </w:pPr>
    <w:rPr>
      <w:rFonts w:ascii="Tahoma" w:eastAsia="ヒラギノ角ゴ Pro W3" w:hAnsi="Tahoma" w:cs="Times New Roman"/>
      <w:color w:val="242424"/>
      <w:sz w:val="18"/>
      <w:szCs w:val="20"/>
    </w:rPr>
  </w:style>
  <w:style w:type="character" w:customStyle="1" w:styleId="Hyperlink1">
    <w:name w:val="Hyperlink1"/>
    <w:autoRedefine/>
    <w:rsid w:val="000D502F"/>
    <w:rPr>
      <w:color w:val="0000FF"/>
      <w:sz w:val="22"/>
      <w:u w:val="single"/>
    </w:rPr>
  </w:style>
  <w:style w:type="paragraph" w:styleId="NormalWeb">
    <w:name w:val="Normal (Web)"/>
    <w:basedOn w:val="Normal"/>
    <w:uiPriority w:val="99"/>
    <w:unhideWhenUsed/>
    <w:rsid w:val="00A4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5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719"/>
    <w:rPr>
      <w:color w:val="808080"/>
      <w:shd w:val="clear" w:color="auto" w:fill="E6E6E6"/>
    </w:rPr>
  </w:style>
  <w:style w:type="paragraph" w:customStyle="1" w:styleId="p1">
    <w:name w:val="p1"/>
    <w:basedOn w:val="Normal"/>
    <w:rsid w:val="00F245A2"/>
    <w:pPr>
      <w:spacing w:after="15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p2">
    <w:name w:val="p2"/>
    <w:basedOn w:val="Normal"/>
    <w:rsid w:val="00F245A2"/>
    <w:pPr>
      <w:spacing w:after="15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3">
    <w:name w:val="p3"/>
    <w:basedOn w:val="Normal"/>
    <w:rsid w:val="00F245A2"/>
    <w:pPr>
      <w:spacing w:after="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4">
    <w:name w:val="p4"/>
    <w:basedOn w:val="Normal"/>
    <w:rsid w:val="00F245A2"/>
    <w:pPr>
      <w:spacing w:after="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5">
    <w:name w:val="p5"/>
    <w:basedOn w:val="Normal"/>
    <w:rsid w:val="00F245A2"/>
    <w:pPr>
      <w:spacing w:after="15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6">
    <w:name w:val="p6"/>
    <w:basedOn w:val="Normal"/>
    <w:rsid w:val="00F245A2"/>
    <w:pPr>
      <w:spacing w:after="150" w:line="240" w:lineRule="auto"/>
      <w:jc w:val="center"/>
    </w:pPr>
    <w:rPr>
      <w:rFonts w:ascii="Georgia" w:eastAsiaTheme="minorEastAsia" w:hAnsi="Georgia" w:cs="Times New Roman"/>
      <w:sz w:val="18"/>
      <w:szCs w:val="18"/>
    </w:rPr>
  </w:style>
  <w:style w:type="character" w:customStyle="1" w:styleId="s2">
    <w:name w:val="s2"/>
    <w:basedOn w:val="DefaultParagraphFont"/>
    <w:rsid w:val="00F245A2"/>
    <w:rPr>
      <w:rFonts w:ascii="Georgia" w:hAnsi="Georgia" w:hint="default"/>
      <w:b/>
      <w:bCs/>
      <w:i w:val="0"/>
      <w:iCs w:val="0"/>
      <w:sz w:val="18"/>
      <w:szCs w:val="18"/>
    </w:rPr>
  </w:style>
  <w:style w:type="character" w:customStyle="1" w:styleId="s3">
    <w:name w:val="s3"/>
    <w:basedOn w:val="DefaultParagraphFont"/>
    <w:rsid w:val="00F245A2"/>
    <w:rPr>
      <w:rFonts w:ascii="Georgia" w:hAnsi="Georgia" w:hint="default"/>
      <w:b w:val="0"/>
      <w:bCs w:val="0"/>
      <w:i/>
      <w:iCs/>
      <w:sz w:val="18"/>
      <w:szCs w:val="18"/>
    </w:rPr>
  </w:style>
  <w:style w:type="character" w:customStyle="1" w:styleId="s4">
    <w:name w:val="s4"/>
    <w:basedOn w:val="DefaultParagraphFont"/>
    <w:rsid w:val="00F245A2"/>
    <w:rPr>
      <w:rFonts w:ascii="Georgia" w:hAnsi="Georgi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F245A2"/>
  </w:style>
  <w:style w:type="character" w:customStyle="1" w:styleId="Heading1Char">
    <w:name w:val="Heading 1 Char"/>
    <w:basedOn w:val="DefaultParagraphFont"/>
    <w:link w:val="Heading1"/>
    <w:uiPriority w:val="9"/>
    <w:rsid w:val="00223A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793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3604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5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56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21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37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10368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2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8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2975">
                                              <w:marLeft w:val="188"/>
                                              <w:marRight w:val="100"/>
                                              <w:marTop w:val="2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9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dek12.org/COVID1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dek12.org/MBA/2020-board-agenda/March-26-Special-Called-Teleconference-agen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cook@mdek12.org" TargetMode="External"/><Relationship Id="rId2" Type="http://schemas.openxmlformats.org/officeDocument/2006/relationships/hyperlink" Target="mailto:*pguilfoyle@mdek12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734D24BD6A64CB3BCA85203517232" ma:contentTypeVersion="5" ma:contentTypeDescription="Create a new document." ma:contentTypeScope="" ma:versionID="720cffa3641ec43fd86832ba82ee49bb">
  <xsd:schema xmlns:xsd="http://www.w3.org/2001/XMLSchema" xmlns:xs="http://www.w3.org/2001/XMLSchema" xmlns:p="http://schemas.microsoft.com/office/2006/metadata/properties" xmlns:ns3="89f68a75-067f-42ab-a378-3bc70046f7bc" xmlns:ns4="e43f9b98-71f9-4ef2-bdf2-9339600b4c74" targetNamespace="http://schemas.microsoft.com/office/2006/metadata/properties" ma:root="true" ma:fieldsID="238a4423c3845c5f3410421aab9012bb" ns3:_="" ns4:_="">
    <xsd:import namespace="89f68a75-067f-42ab-a378-3bc70046f7bc"/>
    <xsd:import namespace="e43f9b98-71f9-4ef2-bdf2-9339600b4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8a75-067f-42ab-a378-3bc70046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9b98-71f9-4ef2-bdf2-9339600b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724D9-9281-4C77-A34A-54997AEB2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4B009-08C9-47A6-9494-F3B97C00C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788E6-C946-4F3C-B63F-34E2A0513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8a75-067f-42ab-a378-3bc70046f7bc"/>
    <ds:schemaRef ds:uri="e43f9b98-71f9-4ef2-bdf2-9339600b4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JKalahar</dc:creator>
  <cp:keywords/>
  <dc:description/>
  <cp:lastModifiedBy>Audrey Still</cp:lastModifiedBy>
  <cp:revision>2</cp:revision>
  <cp:lastPrinted>2014-06-04T13:02:00Z</cp:lastPrinted>
  <dcterms:created xsi:type="dcterms:W3CDTF">2020-03-31T17:52:00Z</dcterms:created>
  <dcterms:modified xsi:type="dcterms:W3CDTF">2020-03-31T17:52:00Z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0x010100511734D24BD6A64CB3BCA85203517232</vt:lpwstr>
  </property>
</Properties>
</file>